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7CD39294" w:rsidR="00E66558" w:rsidRDefault="009D71E8" w:rsidP="006E6C70">
      <w:pPr>
        <w:pStyle w:val="NoSpacing"/>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636B42">
        <w:t>The Ellis CE Primary School</w:t>
      </w:r>
    </w:p>
    <w:p w14:paraId="16B48015" w14:textId="47FC052B" w:rsidR="00E66558" w:rsidRDefault="009D71E8" w:rsidP="00C62989">
      <w:pPr>
        <w:rPr>
          <w:b/>
        </w:rPr>
      </w:pPr>
      <w:r>
        <w:t xml:space="preserve">This statement details our school’s use of pupil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CA4421">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75972AC0" w:rsidR="002940F3" w:rsidRDefault="007B23E4">
            <w:pPr>
              <w:pStyle w:val="TableRow"/>
            </w:pPr>
            <w:r>
              <w:t>2</w:t>
            </w:r>
            <w:r w:rsidR="005731C3">
              <w:t>20</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0D4F7979" w:rsidR="002940F3" w:rsidRDefault="007B23E4">
            <w:pPr>
              <w:pStyle w:val="TableRow"/>
            </w:pPr>
            <w:r>
              <w:t>2</w:t>
            </w:r>
            <w:r w:rsidR="005731C3">
              <w:t>7</w:t>
            </w:r>
            <w:r>
              <w:t>/2</w:t>
            </w:r>
            <w:r w:rsidR="005731C3">
              <w:t>20</w:t>
            </w:r>
            <w:r>
              <w:t xml:space="preserve">  </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34215C6A" w:rsidR="002940F3" w:rsidRDefault="002940F3">
            <w:pPr>
              <w:pStyle w:val="TableRow"/>
            </w:pPr>
            <w:r>
              <w:t xml:space="preserve">Academic year/years that our current pupil premium strategy plan covers </w:t>
            </w:r>
            <w:r w:rsidRPr="1CBF4D92">
              <w:rPr>
                <w:b/>
              </w:rPr>
              <w:t>(</w:t>
            </w:r>
            <w:r w:rsidRPr="004B4D0A">
              <w:rPr>
                <w:b/>
              </w:rPr>
              <w:t>3 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12AE72" w14:textId="68EF2FDE" w:rsidR="002940F3" w:rsidRDefault="00421FA3">
            <w:pPr>
              <w:pStyle w:val="TableRow"/>
            </w:pPr>
            <w:r>
              <w:t>202</w:t>
            </w:r>
            <w:r w:rsidR="002A0A9E">
              <w:t>5</w:t>
            </w:r>
            <w:r>
              <w:t>-202</w:t>
            </w:r>
            <w:r w:rsidR="002A0A9E">
              <w:t>6</w:t>
            </w:r>
          </w:p>
          <w:p w14:paraId="17F28C55" w14:textId="249771CA" w:rsidR="00613F1E" w:rsidRDefault="00421FA3" w:rsidP="002D541F">
            <w:pPr>
              <w:pStyle w:val="TableRow"/>
            </w:pPr>
            <w:r>
              <w:t>202</w:t>
            </w:r>
            <w:r w:rsidR="002A0A9E">
              <w:t>6</w:t>
            </w:r>
            <w:r>
              <w:t>-202</w:t>
            </w:r>
            <w:r w:rsidR="002A0A9E">
              <w:t>7</w:t>
            </w:r>
            <w:r>
              <w:t xml:space="preserve"> </w:t>
            </w:r>
          </w:p>
          <w:p w14:paraId="2A7D54BF" w14:textId="268AADB4" w:rsidR="00421FA3" w:rsidRDefault="00613F1E" w:rsidP="002D541F">
            <w:pPr>
              <w:pStyle w:val="TableRow"/>
            </w:pPr>
            <w:r>
              <w:t>202</w:t>
            </w:r>
            <w:r w:rsidR="005C2BA3">
              <w:t>7</w:t>
            </w:r>
            <w:r>
              <w:t>-202</w:t>
            </w:r>
            <w:r w:rsidR="005C2BA3">
              <w:t>8</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0E91C3D1" w:rsidR="002940F3" w:rsidRDefault="00421FA3">
            <w:pPr>
              <w:pStyle w:val="TableRow"/>
            </w:pPr>
            <w:r>
              <w:t>December 202</w:t>
            </w:r>
            <w:r w:rsidR="002A0A9E">
              <w:t>5</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76257758" w:rsidR="002940F3" w:rsidRDefault="00421FA3">
            <w:pPr>
              <w:pStyle w:val="TableRow"/>
            </w:pPr>
            <w:r>
              <w:t>September 202</w:t>
            </w:r>
            <w:r w:rsidR="002A0A9E">
              <w:t>7</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03EFCC33" w:rsidR="002940F3" w:rsidRDefault="00421FA3">
            <w:pPr>
              <w:pStyle w:val="TableRow"/>
            </w:pPr>
            <w:r>
              <w:t>Mrs Emily Edwards (Head)</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DF7BAB" w14:textId="77777777" w:rsidR="002940F3" w:rsidRDefault="00421FA3">
            <w:pPr>
              <w:pStyle w:val="TableRow"/>
            </w:pPr>
            <w:r>
              <w:t>Mrs Emily Edwards (Head)</w:t>
            </w:r>
          </w:p>
          <w:p w14:paraId="2A7D54CB" w14:textId="05BCA330" w:rsidR="00421FA3" w:rsidRDefault="00421FA3">
            <w:pPr>
              <w:pStyle w:val="TableRow"/>
            </w:pPr>
            <w:r>
              <w:t xml:space="preserve">Mrs Tracey </w:t>
            </w:r>
            <w:r w:rsidR="00613F1E">
              <w:t>Walton</w:t>
            </w:r>
            <w:r>
              <w:t xml:space="preserve"> (PP Champion/Parent Support Advisor) </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846F9" w14:textId="77777777" w:rsidR="0057132C" w:rsidRDefault="0057132C">
            <w:pPr>
              <w:pStyle w:val="TableRow"/>
            </w:pPr>
            <w:r>
              <w:t xml:space="preserve">Marcus Wood (Governor) </w:t>
            </w:r>
          </w:p>
          <w:p w14:paraId="2A7D54CE" w14:textId="122C1618" w:rsidR="002940F3" w:rsidRDefault="002322F2">
            <w:pPr>
              <w:pStyle w:val="TableRow"/>
            </w:pPr>
            <w:r>
              <w:t>Mark Wheeler (DSAT Trustee)</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00CA442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7A57E64F" w:rsidR="00E66558" w:rsidRDefault="009D71E8">
            <w:pPr>
              <w:pStyle w:val="TableRow"/>
            </w:pPr>
            <w:r>
              <w:t>£</w:t>
            </w:r>
            <w:r w:rsidR="002322F2">
              <w:t>43,085</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5F16B6">
            <w:pPr>
              <w:pStyle w:val="TableRow"/>
              <w:spacing w:after="12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4645BE5A" w:rsidR="00E66558" w:rsidRDefault="009D71E8">
            <w:pPr>
              <w:pStyle w:val="TableRow"/>
            </w:pPr>
            <w:r>
              <w:t>£</w:t>
            </w:r>
            <w:r w:rsidR="0024427C">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5D28653E" w:rsidR="00E66558" w:rsidRPr="003C4388" w:rsidRDefault="00E66558">
            <w:pPr>
              <w:pStyle w:val="TableRow"/>
              <w:rPr>
                <w:i/>
                <w:iCs/>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16655B8E" w:rsidR="00E66558" w:rsidRDefault="009D71E8">
            <w:pPr>
              <w:pStyle w:val="TableRow"/>
            </w:pPr>
            <w:r>
              <w:t>£</w:t>
            </w:r>
            <w:r w:rsidR="002322F2">
              <w:t>43,085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14949" w14:textId="77777777" w:rsidR="00636B42" w:rsidRPr="00D53E17" w:rsidRDefault="00636B42" w:rsidP="00636B42">
            <w:pPr>
              <w:rPr>
                <w:b/>
                <w:u w:val="single"/>
              </w:rPr>
            </w:pPr>
            <w:r w:rsidRPr="00D53E17">
              <w:rPr>
                <w:b/>
                <w:u w:val="single"/>
              </w:rPr>
              <w:t>Overall aim and objectives</w:t>
            </w:r>
          </w:p>
          <w:p w14:paraId="4403CFF9" w14:textId="0A8BCC43" w:rsidR="00E66558" w:rsidRDefault="00636B42" w:rsidP="00636B42">
            <w:pPr>
              <w:rPr>
                <w:bCs/>
              </w:rPr>
            </w:pPr>
            <w:r w:rsidRPr="00317A8D">
              <w:rPr>
                <w:rFonts w:cs="Arial"/>
                <w:bCs/>
                <w:color w:val="212529"/>
                <w:shd w:val="clear" w:color="auto" w:fill="FFFFFF"/>
              </w:rPr>
              <w:t xml:space="preserve">At The Ellis C of E Primary School, we see each child as an individual and unique in God’s image. </w:t>
            </w:r>
            <w:r w:rsidRPr="00636B42">
              <w:rPr>
                <w:rFonts w:cs="Arial"/>
                <w:bCs/>
                <w:color w:val="212529"/>
                <w:shd w:val="clear" w:color="auto" w:fill="FFFFFF"/>
              </w:rPr>
              <w:t>At The Ellis</w:t>
            </w:r>
            <w:r w:rsidR="003C75BC">
              <w:rPr>
                <w:rFonts w:cs="Arial"/>
                <w:bCs/>
                <w:color w:val="212529"/>
                <w:shd w:val="clear" w:color="auto" w:fill="FFFFFF"/>
              </w:rPr>
              <w:t xml:space="preserve">, </w:t>
            </w:r>
            <w:r w:rsidRPr="00636B42">
              <w:rPr>
                <w:rFonts w:cs="Arial"/>
                <w:bCs/>
                <w:color w:val="212529"/>
                <w:shd w:val="clear" w:color="auto" w:fill="FFFFFF"/>
              </w:rPr>
              <w:t>we all share the same vision for our children; helping them to feel valued members of our school community and to encourage everyone ‘</w:t>
            </w:r>
            <w:r w:rsidRPr="00636B42">
              <w:rPr>
                <w:rStyle w:val="Strong"/>
                <w:rFonts w:ascii="Century Gothic" w:hAnsi="Century Gothic"/>
                <w:i/>
                <w:iCs/>
                <w:color w:val="212529"/>
                <w:bdr w:val="none" w:sz="0" w:space="0" w:color="auto" w:frame="1"/>
                <w:shd w:val="clear" w:color="auto" w:fill="FFFFFF"/>
              </w:rPr>
              <w:t>to be the best you can be’.</w:t>
            </w:r>
            <w:r w:rsidRPr="00636B42">
              <w:rPr>
                <w:bCs/>
              </w:rPr>
              <w:t xml:space="preserve">  Every member of staff who works at The Ellis school has high expectations for all </w:t>
            </w:r>
            <w:r w:rsidRPr="00317A8D">
              <w:rPr>
                <w:rFonts w:cs="Arial"/>
                <w:bCs/>
                <w:color w:val="212529"/>
                <w:shd w:val="clear" w:color="auto" w:fill="FFFFFF"/>
              </w:rPr>
              <w:t>children. They are committed to providing the best possible education for all pupils and determined that no child should be left behind despite background or circumstances. We believe that it is not background that is important but a child’s passion and thirst for knowledge, and</w:t>
            </w:r>
            <w:r w:rsidR="003C75BC" w:rsidRPr="00317A8D">
              <w:rPr>
                <w:rFonts w:cs="Arial"/>
                <w:bCs/>
                <w:color w:val="212529"/>
                <w:shd w:val="clear" w:color="auto" w:fill="FFFFFF"/>
              </w:rPr>
              <w:t>,</w:t>
            </w:r>
            <w:r w:rsidRPr="00317A8D">
              <w:rPr>
                <w:rFonts w:cs="Arial"/>
                <w:bCs/>
                <w:color w:val="212529"/>
                <w:shd w:val="clear" w:color="auto" w:fill="FFFFFF"/>
              </w:rPr>
              <w:t xml:space="preserve"> dedication and commitment to learning that make the difference between success and failure</w:t>
            </w:r>
            <w:r w:rsidRPr="00636B42">
              <w:rPr>
                <w:bCs/>
              </w:rPr>
              <w:t>. Consequently, we are determined to ensure that all of our pupils are given every opportunity to realise their potential.</w:t>
            </w:r>
          </w:p>
          <w:p w14:paraId="2B8C4695" w14:textId="77777777" w:rsidR="00636B42" w:rsidRPr="00D53E17" w:rsidRDefault="00636B42" w:rsidP="00636B42">
            <w:pPr>
              <w:rPr>
                <w:b/>
                <w:u w:val="single"/>
              </w:rPr>
            </w:pPr>
            <w:r w:rsidRPr="00D53E17">
              <w:rPr>
                <w:b/>
                <w:u w:val="single"/>
              </w:rPr>
              <w:t>Outline of our strategy pla</w:t>
            </w:r>
            <w:r>
              <w:rPr>
                <w:b/>
                <w:u w:val="single"/>
              </w:rPr>
              <w:t>n and key principles</w:t>
            </w:r>
          </w:p>
          <w:p w14:paraId="3F7C7BAD" w14:textId="77777777" w:rsidR="00636B42" w:rsidRPr="00C8092C" w:rsidRDefault="00636B42" w:rsidP="00636B42">
            <w:pPr>
              <w:rPr>
                <w:bCs/>
              </w:rPr>
            </w:pPr>
            <w:r w:rsidRPr="00C8092C">
              <w:rPr>
                <w:bCs/>
              </w:rPr>
              <w:t>At The Ellis</w:t>
            </w:r>
            <w:r>
              <w:rPr>
                <w:bCs/>
              </w:rPr>
              <w:t>,</w:t>
            </w:r>
            <w:r w:rsidRPr="00C8092C">
              <w:rPr>
                <w:bCs/>
              </w:rPr>
              <w:t xml:space="preserve"> we provide a culture where staff believe in all children and no excuses are made for underperformance. We will strive to overcome barriers to learning for pupils and give every individual the best possible chance of success. We adopt a whole school approach</w:t>
            </w:r>
            <w:r>
              <w:rPr>
                <w:bCs/>
              </w:rPr>
              <w:t>,</w:t>
            </w:r>
            <w:r w:rsidRPr="00C8092C">
              <w:rPr>
                <w:bCs/>
              </w:rPr>
              <w:t xml:space="preserve"> with all staff involved in identifying barriers to learning at different levels so that impact is ma</w:t>
            </w:r>
            <w:r>
              <w:rPr>
                <w:bCs/>
              </w:rPr>
              <w:t>ximised</w:t>
            </w:r>
            <w:r w:rsidRPr="00C8092C">
              <w:rPr>
                <w:bCs/>
              </w:rPr>
              <w:t xml:space="preserve"> across school.</w:t>
            </w:r>
          </w:p>
          <w:p w14:paraId="25A16282" w14:textId="258523A5" w:rsidR="00636B42" w:rsidRDefault="00636B42" w:rsidP="00636B42">
            <w:pPr>
              <w:rPr>
                <w:bCs/>
              </w:rPr>
            </w:pPr>
            <w:r w:rsidRPr="00C8092C">
              <w:rPr>
                <w:bCs/>
              </w:rPr>
              <w:t>Pupil premium children are clearly tracked</w:t>
            </w:r>
            <w:r>
              <w:rPr>
                <w:bCs/>
              </w:rPr>
              <w:t xml:space="preserve"> via</w:t>
            </w:r>
            <w:r w:rsidRPr="00C8092C">
              <w:rPr>
                <w:bCs/>
              </w:rPr>
              <w:t xml:space="preserve"> termly pupil progress meetings</w:t>
            </w:r>
            <w:r>
              <w:rPr>
                <w:bCs/>
              </w:rPr>
              <w:t>,</w:t>
            </w:r>
            <w:r w:rsidRPr="00C8092C">
              <w:rPr>
                <w:bCs/>
              </w:rPr>
              <w:t xml:space="preserve"> </w:t>
            </w:r>
            <w:r>
              <w:rPr>
                <w:bCs/>
              </w:rPr>
              <w:t>where</w:t>
            </w:r>
            <w:r w:rsidRPr="00C8092C">
              <w:rPr>
                <w:bCs/>
              </w:rPr>
              <w:t xml:space="preserve"> monitoring </w:t>
            </w:r>
            <w:r>
              <w:rPr>
                <w:bCs/>
              </w:rPr>
              <w:t>focuses on</w:t>
            </w:r>
            <w:r w:rsidRPr="00C8092C">
              <w:rPr>
                <w:bCs/>
              </w:rPr>
              <w:t xml:space="preserve"> the need</w:t>
            </w:r>
            <w:r>
              <w:rPr>
                <w:bCs/>
              </w:rPr>
              <w:t>s</w:t>
            </w:r>
            <w:r w:rsidRPr="00C8092C">
              <w:rPr>
                <w:bCs/>
              </w:rPr>
              <w:t xml:space="preserve"> </w:t>
            </w:r>
            <w:r>
              <w:rPr>
                <w:bCs/>
              </w:rPr>
              <w:t>of</w:t>
            </w:r>
            <w:r w:rsidRPr="00C8092C">
              <w:rPr>
                <w:bCs/>
              </w:rPr>
              <w:t xml:space="preserve"> disadvantaged children</w:t>
            </w:r>
            <w:r w:rsidR="003C75BC">
              <w:rPr>
                <w:bCs/>
              </w:rPr>
              <w:t>,</w:t>
            </w:r>
            <w:r w:rsidRPr="00C8092C">
              <w:rPr>
                <w:bCs/>
              </w:rPr>
              <w:t xml:space="preserve"> </w:t>
            </w:r>
            <w:r w:rsidR="003C75BC">
              <w:rPr>
                <w:bCs/>
              </w:rPr>
              <w:t>in addition to</w:t>
            </w:r>
            <w:r>
              <w:rPr>
                <w:bCs/>
              </w:rPr>
              <w:t xml:space="preserve"> </w:t>
            </w:r>
            <w:r w:rsidRPr="00C8092C">
              <w:rPr>
                <w:bCs/>
              </w:rPr>
              <w:t>children with gaps in</w:t>
            </w:r>
            <w:r>
              <w:rPr>
                <w:bCs/>
              </w:rPr>
              <w:t xml:space="preserve"> learning</w:t>
            </w:r>
            <w:r w:rsidR="003C75BC">
              <w:rPr>
                <w:bCs/>
              </w:rPr>
              <w:t>,</w:t>
            </w:r>
            <w:r>
              <w:rPr>
                <w:bCs/>
              </w:rPr>
              <w:t xml:space="preserve"> in order </w:t>
            </w:r>
            <w:r w:rsidRPr="00C8092C">
              <w:rPr>
                <w:bCs/>
              </w:rPr>
              <w:t>to</w:t>
            </w:r>
            <w:r>
              <w:rPr>
                <w:bCs/>
              </w:rPr>
              <w:t xml:space="preserve"> support them in </w:t>
            </w:r>
            <w:r w:rsidRPr="00C8092C">
              <w:rPr>
                <w:bCs/>
              </w:rPr>
              <w:t>mak</w:t>
            </w:r>
            <w:r>
              <w:rPr>
                <w:bCs/>
              </w:rPr>
              <w:t>ing</w:t>
            </w:r>
            <w:r w:rsidRPr="00C8092C">
              <w:rPr>
                <w:bCs/>
              </w:rPr>
              <w:t xml:space="preserve"> rapid progress. We acknowledge that pupil premium pupils are not always socially disadvantaged </w:t>
            </w:r>
            <w:r>
              <w:rPr>
                <w:bCs/>
              </w:rPr>
              <w:t>or</w:t>
            </w:r>
            <w:r w:rsidRPr="00C8092C">
              <w:rPr>
                <w:bCs/>
              </w:rPr>
              <w:t xml:space="preserve"> at risk of underachievement. Likewise, there are many pupils that we would consider to be vulnerable that are not in receipt of pupil premium funding. </w:t>
            </w:r>
            <w:r w:rsidRPr="00BC1474">
              <w:rPr>
                <w:bCs/>
              </w:rPr>
              <w:t xml:space="preserve">Pupils who are not making expected progress </w:t>
            </w:r>
            <w:r>
              <w:rPr>
                <w:bCs/>
              </w:rPr>
              <w:t>are</w:t>
            </w:r>
            <w:r w:rsidRPr="00BC1474">
              <w:rPr>
                <w:bCs/>
              </w:rPr>
              <w:t xml:space="preserve"> identified to receive specific interventions aimed at accelerating their progress.</w:t>
            </w:r>
          </w:p>
          <w:p w14:paraId="0BB99E75" w14:textId="27D29AD3" w:rsidR="00636B42" w:rsidRDefault="00636B42" w:rsidP="00636B42">
            <w:pPr>
              <w:rPr>
                <w:bCs/>
              </w:rPr>
            </w:pPr>
            <w:r w:rsidRPr="00BC1474">
              <w:rPr>
                <w:bCs/>
              </w:rPr>
              <w:t>One</w:t>
            </w:r>
            <w:r>
              <w:rPr>
                <w:bCs/>
              </w:rPr>
              <w:t xml:space="preserve"> of the main </w:t>
            </w:r>
            <w:r w:rsidRPr="00BC1474">
              <w:rPr>
                <w:bCs/>
              </w:rPr>
              <w:t>barrier</w:t>
            </w:r>
            <w:r>
              <w:rPr>
                <w:bCs/>
              </w:rPr>
              <w:t>s</w:t>
            </w:r>
            <w:r w:rsidRPr="0058141C">
              <w:rPr>
                <w:b/>
              </w:rPr>
              <w:t xml:space="preserve"> </w:t>
            </w:r>
            <w:r w:rsidRPr="00BC1474">
              <w:rPr>
                <w:bCs/>
              </w:rPr>
              <w:t xml:space="preserve">faced by some of our youngest disadvantaged pupils is poor oral language and communication skills. This is particularly evident for the pupils entering our Nursery </w:t>
            </w:r>
            <w:r>
              <w:rPr>
                <w:bCs/>
              </w:rPr>
              <w:t>(</w:t>
            </w:r>
            <w:r w:rsidRPr="00BC1474">
              <w:rPr>
                <w:bCs/>
              </w:rPr>
              <w:t>F1 provision</w:t>
            </w:r>
            <w:r>
              <w:rPr>
                <w:bCs/>
              </w:rPr>
              <w:t>). W</w:t>
            </w:r>
            <w:r w:rsidRPr="00BC1474">
              <w:rPr>
                <w:bCs/>
              </w:rPr>
              <w:t>e target those pupils early on with interventions e.g WellComm</w:t>
            </w:r>
            <w:r w:rsidR="00F97FAF">
              <w:rPr>
                <w:bCs/>
              </w:rPr>
              <w:t xml:space="preserve"> and NELI</w:t>
            </w:r>
            <w:r w:rsidR="00E45FC0">
              <w:rPr>
                <w:bCs/>
              </w:rPr>
              <w:t>,</w:t>
            </w:r>
            <w:r w:rsidRPr="00BC1474">
              <w:rPr>
                <w:bCs/>
              </w:rPr>
              <w:t xml:space="preserve"> alongside a language rich curriculum.</w:t>
            </w:r>
            <w:r>
              <w:rPr>
                <w:bCs/>
              </w:rPr>
              <w:t xml:space="preserve"> </w:t>
            </w:r>
            <w:r w:rsidRPr="00BC1474">
              <w:rPr>
                <w:bCs/>
              </w:rPr>
              <w:t>Language acquisition is at the heart of The Ellis Curriculum</w:t>
            </w:r>
            <w:r w:rsidR="00E45FC0">
              <w:rPr>
                <w:bCs/>
              </w:rPr>
              <w:t xml:space="preserve"> for all year groups</w:t>
            </w:r>
            <w:r w:rsidRPr="00BC1474">
              <w:rPr>
                <w:bCs/>
              </w:rPr>
              <w:t>.</w:t>
            </w:r>
            <w:r w:rsidR="003A75F5">
              <w:rPr>
                <w:bCs/>
              </w:rPr>
              <w:t xml:space="preserve"> Oracy continues to be a priority throughout school and we have implemented curriculum enhancements to ensure opportunities for oracy are carefully planned. </w:t>
            </w:r>
          </w:p>
          <w:p w14:paraId="6B009491" w14:textId="24DF565A" w:rsidR="00636B42" w:rsidRPr="00BC1474" w:rsidRDefault="00636B42" w:rsidP="00636B42">
            <w:pPr>
              <w:rPr>
                <w:bCs/>
              </w:rPr>
            </w:pPr>
            <w:r>
              <w:rPr>
                <w:bCs/>
              </w:rPr>
              <w:lastRenderedPageBreak/>
              <w:t xml:space="preserve">From Foundation 2, we utilise our </w:t>
            </w:r>
            <w:r w:rsidR="002322F2">
              <w:rPr>
                <w:bCs/>
              </w:rPr>
              <w:t xml:space="preserve">systematic </w:t>
            </w:r>
            <w:r>
              <w:rPr>
                <w:bCs/>
              </w:rPr>
              <w:t>synthetic phonics system (RWI) to provide our children with the strongest possible start with reading. Our aim is to give the children the skills they need to unlock their learning for life. Our recent relaunch of ReadWriteInc</w:t>
            </w:r>
            <w:r w:rsidR="00945BC3">
              <w:rPr>
                <w:bCs/>
              </w:rPr>
              <w:t>, including the Get Writing! element,</w:t>
            </w:r>
            <w:r>
              <w:rPr>
                <w:bCs/>
              </w:rPr>
              <w:t xml:space="preserve"> has enabled us to ensure we have fidelity to the scheme and build consistency for all pupils. </w:t>
            </w:r>
          </w:p>
          <w:p w14:paraId="10506302" w14:textId="1C0069B9" w:rsidR="00636B42" w:rsidRPr="00BC1474" w:rsidRDefault="00636B42" w:rsidP="00636B42">
            <w:pPr>
              <w:rPr>
                <w:bCs/>
              </w:rPr>
            </w:pPr>
            <w:r w:rsidRPr="00BC1474">
              <w:rPr>
                <w:bCs/>
              </w:rPr>
              <w:t>We recognise that</w:t>
            </w:r>
            <w:r w:rsidR="00EE1760">
              <w:rPr>
                <w:bCs/>
              </w:rPr>
              <w:t xml:space="preserve"> the</w:t>
            </w:r>
            <w:r>
              <w:rPr>
                <w:bCs/>
              </w:rPr>
              <w:t xml:space="preserve"> main driver of pupil</w:t>
            </w:r>
            <w:r w:rsidRPr="00BC1474">
              <w:rPr>
                <w:bCs/>
              </w:rPr>
              <w:t xml:space="preserve"> attainment is high quality </w:t>
            </w:r>
            <w:r>
              <w:rPr>
                <w:bCs/>
              </w:rPr>
              <w:t xml:space="preserve">first </w:t>
            </w:r>
            <w:r w:rsidRPr="00BC1474">
              <w:rPr>
                <w:bCs/>
              </w:rPr>
              <w:t>teaching</w:t>
            </w:r>
            <w:r>
              <w:rPr>
                <w:bCs/>
              </w:rPr>
              <w:t>,</w:t>
            </w:r>
            <w:r w:rsidRPr="00BC1474">
              <w:rPr>
                <w:bCs/>
              </w:rPr>
              <w:t xml:space="preserve"> so our </w:t>
            </w:r>
            <w:r>
              <w:rPr>
                <w:bCs/>
              </w:rPr>
              <w:t xml:space="preserve">main </w:t>
            </w:r>
            <w:r w:rsidRPr="00BC1474">
              <w:rPr>
                <w:bCs/>
              </w:rPr>
              <w:t>emphasis is on achieving this first and foremost. We</w:t>
            </w:r>
            <w:r>
              <w:rPr>
                <w:bCs/>
              </w:rPr>
              <w:t xml:space="preserve"> are working on securing </w:t>
            </w:r>
            <w:r w:rsidRPr="00BC1474">
              <w:rPr>
                <w:bCs/>
              </w:rPr>
              <w:t xml:space="preserve">consistent application of </w:t>
            </w:r>
            <w:r>
              <w:rPr>
                <w:bCs/>
              </w:rPr>
              <w:t>non-negotiables, in line with our</w:t>
            </w:r>
            <w:r w:rsidRPr="00BC1474">
              <w:rPr>
                <w:bCs/>
              </w:rPr>
              <w:t xml:space="preserve"> teaching and learning policy</w:t>
            </w:r>
            <w:r>
              <w:rPr>
                <w:bCs/>
              </w:rPr>
              <w:t>, in order to secure a more robust approach to the curriculum</w:t>
            </w:r>
            <w:r w:rsidRPr="00BC1474">
              <w:rPr>
                <w:bCs/>
              </w:rPr>
              <w:t xml:space="preserve">.  </w:t>
            </w:r>
          </w:p>
          <w:p w14:paraId="76F2FF97" w14:textId="38FAD9EE" w:rsidR="00636B42" w:rsidRPr="00BC1474" w:rsidRDefault="00636B42" w:rsidP="00636B42">
            <w:pPr>
              <w:rPr>
                <w:bCs/>
              </w:rPr>
            </w:pPr>
            <w:r w:rsidRPr="00BC1474">
              <w:rPr>
                <w:bCs/>
              </w:rPr>
              <w:t xml:space="preserve">At The Ellis, we ensure that </w:t>
            </w:r>
            <w:r>
              <w:rPr>
                <w:bCs/>
              </w:rPr>
              <w:t xml:space="preserve">high </w:t>
            </w:r>
            <w:r w:rsidRPr="00BC1474">
              <w:rPr>
                <w:bCs/>
              </w:rPr>
              <w:t>quality professional development</w:t>
            </w:r>
            <w:r>
              <w:rPr>
                <w:bCs/>
              </w:rPr>
              <w:t xml:space="preserve"> is a priority, therefore</w:t>
            </w:r>
            <w:r w:rsidRPr="00BC1474">
              <w:rPr>
                <w:bCs/>
              </w:rPr>
              <w:t xml:space="preserve"> training for teachers and teaching assistants</w:t>
            </w:r>
            <w:r>
              <w:rPr>
                <w:bCs/>
              </w:rPr>
              <w:t xml:space="preserve"> is carefully selected to enhance the developing curriculum</w:t>
            </w:r>
            <w:r w:rsidR="002322F2">
              <w:rPr>
                <w:bCs/>
              </w:rPr>
              <w:t>. W</w:t>
            </w:r>
            <w:r w:rsidRPr="00BC1474">
              <w:rPr>
                <w:bCs/>
              </w:rPr>
              <w:t xml:space="preserve">e have </w:t>
            </w:r>
            <w:r>
              <w:rPr>
                <w:bCs/>
              </w:rPr>
              <w:t xml:space="preserve">identified that </w:t>
            </w:r>
            <w:r w:rsidRPr="00BC1474">
              <w:rPr>
                <w:bCs/>
              </w:rPr>
              <w:t xml:space="preserve">Writing progress </w:t>
            </w:r>
            <w:r>
              <w:rPr>
                <w:bCs/>
              </w:rPr>
              <w:t>is a key area to develop.</w:t>
            </w:r>
            <w:r w:rsidRPr="00BC1474">
              <w:rPr>
                <w:bCs/>
              </w:rPr>
              <w:t xml:space="preserve"> </w:t>
            </w:r>
            <w:r w:rsidR="00945BC3">
              <w:rPr>
                <w:bCs/>
              </w:rPr>
              <w:t>Our</w:t>
            </w:r>
            <w:r w:rsidR="00A37C09">
              <w:rPr>
                <w:bCs/>
              </w:rPr>
              <w:t xml:space="preserve"> implement</w:t>
            </w:r>
            <w:r w:rsidR="00945BC3">
              <w:rPr>
                <w:bCs/>
              </w:rPr>
              <w:t>ation of</w:t>
            </w:r>
            <w:r w:rsidR="00A37C09">
              <w:rPr>
                <w:bCs/>
              </w:rPr>
              <w:t xml:space="preserve"> Get Writing</w:t>
            </w:r>
            <w:r w:rsidR="00945BC3">
              <w:rPr>
                <w:bCs/>
              </w:rPr>
              <w:t>!</w:t>
            </w:r>
            <w:r w:rsidR="00A37C09">
              <w:rPr>
                <w:bCs/>
              </w:rPr>
              <w:t xml:space="preserve"> in F2 and KS1</w:t>
            </w:r>
            <w:r w:rsidR="00945BC3">
              <w:rPr>
                <w:bCs/>
              </w:rPr>
              <w:t xml:space="preserve"> has had a significant impact on early writing</w:t>
            </w:r>
            <w:r w:rsidRPr="00BC1474">
              <w:rPr>
                <w:bCs/>
              </w:rPr>
              <w:t>.</w:t>
            </w:r>
            <w:r w:rsidR="00945BC3">
              <w:rPr>
                <w:bCs/>
              </w:rPr>
              <w:t xml:space="preserve"> Children are developing firm foundations in transcriptional skills whilst also having opportunities to write without cognitive overload. </w:t>
            </w:r>
          </w:p>
          <w:p w14:paraId="63444913" w14:textId="25A4D148" w:rsidR="00636B42" w:rsidRDefault="00636B42" w:rsidP="00636B42">
            <w:pPr>
              <w:rPr>
                <w:bCs/>
              </w:rPr>
            </w:pPr>
            <w:r w:rsidRPr="00BC1474">
              <w:rPr>
                <w:bCs/>
              </w:rPr>
              <w:t>We acknowledge the importance of using performance data effectively to analyse the progress of significant groups</w:t>
            </w:r>
            <w:r w:rsidR="00F97FAF">
              <w:rPr>
                <w:bCs/>
              </w:rPr>
              <w:t>,</w:t>
            </w:r>
            <w:r w:rsidRPr="00BC1474">
              <w:rPr>
                <w:bCs/>
              </w:rPr>
              <w:t xml:space="preserve"> including disadvantaged children</w:t>
            </w:r>
            <w:r w:rsidR="00F97FAF">
              <w:rPr>
                <w:bCs/>
              </w:rPr>
              <w:t>,</w:t>
            </w:r>
            <w:r w:rsidRPr="00BC1474">
              <w:rPr>
                <w:bCs/>
              </w:rPr>
              <w:t xml:space="preserve"> but also to ensure that we can identify exactly what gaps the children have in their learning.</w:t>
            </w:r>
            <w:r w:rsidR="00F01407">
              <w:rPr>
                <w:bCs/>
              </w:rPr>
              <w:t xml:space="preserve"> </w:t>
            </w:r>
            <w:r w:rsidR="00F97FAF">
              <w:rPr>
                <w:bCs/>
              </w:rPr>
              <w:t>As such</w:t>
            </w:r>
            <w:r w:rsidR="00E45FC0">
              <w:rPr>
                <w:bCs/>
              </w:rPr>
              <w:t>,</w:t>
            </w:r>
            <w:r w:rsidR="00F97FAF">
              <w:rPr>
                <w:bCs/>
              </w:rPr>
              <w:t xml:space="preserve"> we have purchased</w:t>
            </w:r>
            <w:r w:rsidR="00E45FC0">
              <w:rPr>
                <w:bCs/>
              </w:rPr>
              <w:t xml:space="preserve"> the</w:t>
            </w:r>
            <w:r w:rsidR="00F97FAF">
              <w:rPr>
                <w:bCs/>
              </w:rPr>
              <w:t xml:space="preserve"> tests</w:t>
            </w:r>
            <w:r w:rsidR="00E45FC0">
              <w:rPr>
                <w:bCs/>
              </w:rPr>
              <w:t>,</w:t>
            </w:r>
            <w:r w:rsidR="00F97FAF">
              <w:rPr>
                <w:bCs/>
              </w:rPr>
              <w:t xml:space="preserve"> which have an online gap analysis tool to help teachers pinpoint specific gaps</w:t>
            </w:r>
            <w:r w:rsidR="00E45FC0">
              <w:rPr>
                <w:bCs/>
              </w:rPr>
              <w:t xml:space="preserve"> in knowledge</w:t>
            </w:r>
            <w:r w:rsidR="00F97FAF">
              <w:rPr>
                <w:bCs/>
              </w:rPr>
              <w:t>.</w:t>
            </w:r>
            <w:r w:rsidR="004F24B4">
              <w:rPr>
                <w:bCs/>
              </w:rPr>
              <w:t xml:space="preserve"> </w:t>
            </w:r>
          </w:p>
          <w:p w14:paraId="62DAAD0A" w14:textId="56E49487" w:rsidR="00BD6248" w:rsidRPr="00BC1474" w:rsidRDefault="00BD6248" w:rsidP="00636B42">
            <w:pPr>
              <w:rPr>
                <w:bCs/>
              </w:rPr>
            </w:pPr>
            <w:r>
              <w:rPr>
                <w:bCs/>
              </w:rPr>
              <w:t>We have also developed a needs assessment document to complete for pupil premium children who are not working at age related expectations to ensure we are noticing any patterns and seeking SEND support if this is appropriate</w:t>
            </w:r>
            <w:r w:rsidR="00EE1760">
              <w:rPr>
                <w:bCs/>
              </w:rPr>
              <w:t>.</w:t>
            </w:r>
          </w:p>
          <w:p w14:paraId="196AF69D" w14:textId="2326C4A5" w:rsidR="00D61EC4" w:rsidRDefault="00636B42" w:rsidP="00F01407">
            <w:pPr>
              <w:rPr>
                <w:bCs/>
              </w:rPr>
            </w:pPr>
            <w:r w:rsidRPr="00BC1474">
              <w:rPr>
                <w:bCs/>
              </w:rPr>
              <w:t xml:space="preserve">Pupils at The Ellis experience different types of barriers to their learning and we have found with our pupils that these barriers can be of a long term or of a more short-term nature. </w:t>
            </w:r>
            <w:r w:rsidR="00D61EC4">
              <w:rPr>
                <w:bCs/>
              </w:rPr>
              <w:t>The most common barriers are:</w:t>
            </w:r>
          </w:p>
          <w:p w14:paraId="4F8205EE" w14:textId="2074E6A7" w:rsidR="00D61EC4" w:rsidRDefault="00D61EC4" w:rsidP="00D61EC4">
            <w:pPr>
              <w:pStyle w:val="ListParagraph"/>
              <w:numPr>
                <w:ilvl w:val="0"/>
                <w:numId w:val="16"/>
              </w:numPr>
            </w:pPr>
            <w:r>
              <w:t>Some disadvantaged pupils also have an identified special educational need or disability (SEND)</w:t>
            </w:r>
          </w:p>
          <w:p w14:paraId="4A2A4C9C" w14:textId="3FC14CCA" w:rsidR="00D61EC4" w:rsidRDefault="00D61EC4" w:rsidP="00D61EC4">
            <w:pPr>
              <w:pStyle w:val="ListParagraph"/>
              <w:numPr>
                <w:ilvl w:val="0"/>
                <w:numId w:val="16"/>
              </w:numPr>
            </w:pPr>
            <w:r>
              <w:t xml:space="preserve">Early language and communication skills </w:t>
            </w:r>
          </w:p>
          <w:p w14:paraId="58822825" w14:textId="247951EE" w:rsidR="00D61EC4" w:rsidRDefault="00D61EC4" w:rsidP="00D61EC4">
            <w:pPr>
              <w:pStyle w:val="ListParagraph"/>
              <w:numPr>
                <w:ilvl w:val="0"/>
                <w:numId w:val="16"/>
              </w:numPr>
            </w:pPr>
            <w:r>
              <w:t>Behaviour and emotional difficulties requiring early help assessments (EHAs)</w:t>
            </w:r>
          </w:p>
          <w:p w14:paraId="39778959" w14:textId="38EF270D" w:rsidR="00D61EC4" w:rsidRDefault="00D61EC4" w:rsidP="00D61EC4">
            <w:pPr>
              <w:pStyle w:val="ListParagraph"/>
              <w:numPr>
                <w:ilvl w:val="0"/>
                <w:numId w:val="16"/>
              </w:numPr>
            </w:pPr>
            <w:r>
              <w:t>Attendance – often linked to term time, unauthorised holidays</w:t>
            </w:r>
          </w:p>
          <w:p w14:paraId="5217095C" w14:textId="4EE85A3E" w:rsidR="00F01407" w:rsidRPr="00975D4D" w:rsidRDefault="00636B42" w:rsidP="00636B42">
            <w:r w:rsidRPr="00975D4D">
              <w:t>We recognise that all of our pupils are individuals with varying needs and, as such, we employ a wide range of strategies aimed at ensuring that they achieve the highest standards of achievement, attainment and progress.</w:t>
            </w:r>
            <w:r w:rsidR="004F24B4">
              <w:t xml:space="preserve"> These are regularly evaluated and adapted to ensure children aren’t left on interventions that aren’t having an impact as we are conscious of the social and emotional impact this can have.</w:t>
            </w:r>
          </w:p>
          <w:p w14:paraId="2A7D54E9" w14:textId="4D475139" w:rsidR="00636B42" w:rsidRPr="00636B42" w:rsidRDefault="00636B42" w:rsidP="00636B42">
            <w:pPr>
              <w:rPr>
                <w:i/>
                <w:iCs/>
              </w:rPr>
            </w:pPr>
          </w:p>
        </w:tc>
      </w:tr>
    </w:tbl>
    <w:p w14:paraId="2A7D54EB" w14:textId="77777777"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56B5BEC4" w:rsidR="00E66558" w:rsidRDefault="00B33AA6">
            <w:pPr>
              <w:pStyle w:val="TableRowCentered"/>
              <w:jc w:val="left"/>
            </w:pPr>
            <w:r>
              <w:t>Evidence from internal and, where available, external assessments highlight notable weaknesses in pupils’ decoding and reading fluency, which limits their ability to sustain reading effectively.</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2AB481C9" w:rsidR="00E66558" w:rsidRDefault="00B33AA6">
            <w:pPr>
              <w:pStyle w:val="TableRowCentered"/>
              <w:jc w:val="left"/>
              <w:rPr>
                <w:sz w:val="22"/>
                <w:szCs w:val="22"/>
              </w:rPr>
            </w:pPr>
            <w:r>
              <w:t>Internal and external assessment information indicates substantial gaps in writing skills across all year groups, resulting in many pupils not achieving age-related expectations.</w:t>
            </w:r>
          </w:p>
        </w:tc>
      </w:tr>
      <w:tr w:rsidR="00317A8D" w14:paraId="117A06A7"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7D6C0" w14:textId="115DF0D7" w:rsidR="00317A8D" w:rsidRDefault="00317A8D">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65724" w14:textId="1A4FAD76" w:rsidR="00317A8D" w:rsidRDefault="00B33AA6" w:rsidP="00B33AA6">
            <w:pPr>
              <w:pStyle w:val="TableRowCentered"/>
              <w:tabs>
                <w:tab w:val="left" w:pos="1141"/>
              </w:tabs>
              <w:jc w:val="left"/>
            </w:pPr>
            <w:r>
              <w:t>Assessment outcomes show that pupils have insecure foundational mathematical knowledge, including gaps in subject-specific vocabulary.</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31761E3E" w:rsidR="00E66558" w:rsidRDefault="00317A8D">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6C177426" w:rsidR="00E66558" w:rsidRDefault="007B0233">
            <w:pPr>
              <w:pStyle w:val="TableRowCentered"/>
              <w:jc w:val="left"/>
              <w:rPr>
                <w:sz w:val="22"/>
                <w:szCs w:val="22"/>
              </w:rPr>
            </w:pPr>
            <w:r>
              <w:t>Evidence from observations and pupil discussions indicates that some of the most disadvantaged pupils have fewer opportunities to engage in high-quality talk and to develop a rich, ambitious vocabulary. As a result, they are further disadvantaged when learning alongside more advantaged peers and when accessing appropriately challenging curriculum content.</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26674EB6" w:rsidR="00E66558" w:rsidRDefault="00317A8D">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7608D0B7" w:rsidR="00E66558" w:rsidRDefault="00B33AA6">
            <w:pPr>
              <w:pStyle w:val="TableRowCentered"/>
              <w:jc w:val="left"/>
              <w:rPr>
                <w:iCs/>
                <w:sz w:val="22"/>
              </w:rPr>
            </w:pPr>
            <w:r>
              <w:t>Ongoing dialogue with pupils and their families, and evidence in school indicates that a significant proportion require additional pastoral support, including interventions to address social, emotional and mental health needs.</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073CD5C8" w:rsidR="00E66558" w:rsidRDefault="00317A8D">
            <w:pPr>
              <w:pStyle w:val="TableRow"/>
              <w:rPr>
                <w:sz w:val="22"/>
                <w:szCs w:val="22"/>
              </w:rPr>
            </w:pPr>
            <w:bookmarkStart w:id="16" w:name="_Toc443397160"/>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112CA240" w:rsidR="00E66558" w:rsidRDefault="00B33AA6" w:rsidP="00B33AA6">
            <w:pPr>
              <w:pStyle w:val="TableRowCentered"/>
              <w:jc w:val="left"/>
              <w:rPr>
                <w:iCs/>
                <w:sz w:val="22"/>
              </w:rPr>
            </w:pPr>
            <w:r>
              <w:t>For some pupils, limited experiences beyond the home environment restrict their wider understanding of the world. Additionally, the school’s predominantly White British demographic reduces regular exposure to themes such as equality and diversity.</w:t>
            </w:r>
          </w:p>
        </w:tc>
      </w:tr>
    </w:tbl>
    <w:p w14:paraId="2A7D54FF" w14:textId="77777777"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874"/>
        <w:gridCol w:w="4508"/>
        <w:gridCol w:w="4104"/>
      </w:tblGrid>
      <w:tr w:rsidR="007B0233" w14:paraId="2A7D5503" w14:textId="77777777" w:rsidTr="00EC73D2">
        <w:tc>
          <w:tcPr>
            <w:tcW w:w="874" w:type="dxa"/>
            <w:tcBorders>
              <w:top w:val="single" w:sz="4" w:space="0" w:color="000000"/>
              <w:left w:val="single" w:sz="4" w:space="0" w:color="000000"/>
              <w:bottom w:val="single" w:sz="4" w:space="0" w:color="000000"/>
              <w:right w:val="single" w:sz="4" w:space="0" w:color="000000"/>
            </w:tcBorders>
            <w:shd w:val="clear" w:color="auto" w:fill="CFDCE3"/>
          </w:tcPr>
          <w:p w14:paraId="3ACA3F25" w14:textId="77777777" w:rsidR="007B0233" w:rsidRDefault="007B0233">
            <w:pPr>
              <w:pStyle w:val="TableHeader"/>
              <w:jc w:val="left"/>
            </w:pPr>
          </w:p>
        </w:tc>
        <w:tc>
          <w:tcPr>
            <w:tcW w:w="450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65B70F13" w:rsidR="007B0233" w:rsidRDefault="007B0233">
            <w:pPr>
              <w:pStyle w:val="TableHeader"/>
              <w:jc w:val="left"/>
            </w:pPr>
            <w:r>
              <w:t>Intended outcome</w:t>
            </w:r>
          </w:p>
        </w:tc>
        <w:tc>
          <w:tcPr>
            <w:tcW w:w="410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7B0233" w:rsidRDefault="007B0233">
            <w:pPr>
              <w:pStyle w:val="TableHeader"/>
              <w:jc w:val="left"/>
            </w:pPr>
            <w:r>
              <w:t>Success criteria</w:t>
            </w:r>
          </w:p>
        </w:tc>
      </w:tr>
      <w:tr w:rsidR="007B0233" w14:paraId="2A7D5506" w14:textId="77777777" w:rsidTr="00EC73D2">
        <w:tc>
          <w:tcPr>
            <w:tcW w:w="874" w:type="dxa"/>
            <w:tcBorders>
              <w:top w:val="single" w:sz="4" w:space="0" w:color="000000"/>
              <w:left w:val="single" w:sz="4" w:space="0" w:color="000000"/>
              <w:bottom w:val="single" w:sz="4" w:space="0" w:color="000000"/>
              <w:right w:val="single" w:sz="4" w:space="0" w:color="000000"/>
            </w:tcBorders>
          </w:tcPr>
          <w:p w14:paraId="2269ADFE" w14:textId="0E717858" w:rsidR="007B0233" w:rsidRPr="00525806" w:rsidRDefault="007B0233" w:rsidP="007B0233">
            <w:pPr>
              <w:pStyle w:val="NormalWeb"/>
              <w:ind w:left="720"/>
              <w:rPr>
                <w:rFonts w:ascii="Arial" w:hAnsi="Arial"/>
                <w:color w:val="0D0D0D"/>
                <w:szCs w:val="20"/>
              </w:rPr>
            </w:pPr>
            <w:r>
              <w:rPr>
                <w:rFonts w:ascii="Arial" w:hAnsi="Arial"/>
                <w:color w:val="0D0D0D"/>
                <w:szCs w:val="20"/>
              </w:rPr>
              <w:t>1</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4D357" w14:textId="7BE52FDA" w:rsidR="007B0233" w:rsidRDefault="007B0233" w:rsidP="00EC73D2">
            <w:pPr>
              <w:pStyle w:val="NormalWeb"/>
              <w:rPr>
                <w:rFonts w:ascii="Arial" w:hAnsi="Arial"/>
                <w:color w:val="0D0D0D"/>
                <w:szCs w:val="20"/>
              </w:rPr>
            </w:pPr>
            <w:r w:rsidRPr="00525806">
              <w:rPr>
                <w:rFonts w:ascii="Arial" w:hAnsi="Arial"/>
                <w:color w:val="0D0D0D"/>
                <w:szCs w:val="20"/>
              </w:rPr>
              <w:t>By the end of this strategy plan, at least 80% of pupils in each year group will achieve age-related expectations in reading, with disadvantaged pupils and those with SEND making progress in line with or better than their peers.</w:t>
            </w:r>
          </w:p>
          <w:p w14:paraId="4859709B" w14:textId="717401C5" w:rsidR="007B0233" w:rsidRPr="00525806" w:rsidRDefault="007B0233" w:rsidP="00EC73D2">
            <w:pPr>
              <w:pStyle w:val="NormalWeb"/>
              <w:rPr>
                <w:rFonts w:ascii="Arial" w:hAnsi="Arial"/>
                <w:color w:val="0D0D0D"/>
                <w:szCs w:val="20"/>
              </w:rPr>
            </w:pPr>
            <w:r w:rsidRPr="00525806">
              <w:rPr>
                <w:rFonts w:ascii="Arial" w:hAnsi="Arial"/>
                <w:color w:val="0D0D0D"/>
                <w:szCs w:val="20"/>
              </w:rPr>
              <w:t xml:space="preserve">Fluency assessments will show consistent improvements in accuracy, pace </w:t>
            </w:r>
            <w:r w:rsidRPr="00525806">
              <w:rPr>
                <w:rFonts w:ascii="Arial" w:hAnsi="Arial"/>
                <w:color w:val="0D0D0D"/>
                <w:szCs w:val="20"/>
              </w:rPr>
              <w:lastRenderedPageBreak/>
              <w:t>and stamina, enabling pupils to confidently access age-appropriate texts across the curriculum.</w:t>
            </w:r>
          </w:p>
          <w:p w14:paraId="2A7D5504" w14:textId="01220258" w:rsidR="007B0233" w:rsidRDefault="007B0233">
            <w:pPr>
              <w:pStyle w:val="TableRow"/>
            </w:pPr>
          </w:p>
        </w:tc>
        <w:tc>
          <w:tcPr>
            <w:tcW w:w="4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A1BCB" w14:textId="24E98556" w:rsidR="007B0233" w:rsidRPr="00EC73D2" w:rsidRDefault="007B0233" w:rsidP="00EC73D2">
            <w:pPr>
              <w:pStyle w:val="NormalWeb"/>
              <w:numPr>
                <w:ilvl w:val="0"/>
                <w:numId w:val="27"/>
              </w:numPr>
              <w:rPr>
                <w:rFonts w:ascii="Arial" w:hAnsi="Arial"/>
                <w:color w:val="0D0D0D"/>
                <w:szCs w:val="20"/>
              </w:rPr>
            </w:pPr>
            <w:r w:rsidRPr="00EC73D2">
              <w:rPr>
                <w:rFonts w:ascii="Arial" w:hAnsi="Arial"/>
                <w:color w:val="0D0D0D"/>
                <w:szCs w:val="20"/>
              </w:rPr>
              <w:lastRenderedPageBreak/>
              <w:t>Timed reading assessments and fluency checks show consistent improvements in accuracy, pace, and reading stamina across all year groups.</w:t>
            </w:r>
          </w:p>
          <w:p w14:paraId="05491CFB" w14:textId="55F801B2" w:rsidR="007B0233" w:rsidRPr="00EC73D2" w:rsidRDefault="007B0233" w:rsidP="00EC73D2">
            <w:pPr>
              <w:pStyle w:val="NormalWeb"/>
              <w:numPr>
                <w:ilvl w:val="0"/>
                <w:numId w:val="27"/>
              </w:numPr>
              <w:rPr>
                <w:rFonts w:ascii="Arial" w:hAnsi="Arial"/>
                <w:color w:val="0D0D0D"/>
                <w:szCs w:val="20"/>
              </w:rPr>
            </w:pPr>
            <w:r w:rsidRPr="00EC73D2">
              <w:rPr>
                <w:rFonts w:ascii="Arial" w:hAnsi="Arial"/>
                <w:color w:val="0D0D0D"/>
                <w:szCs w:val="20"/>
              </w:rPr>
              <w:t>Pupils can confidently read age-appropriate texts independently and sustain reading for longer periods.</w:t>
            </w:r>
          </w:p>
          <w:p w14:paraId="7457F625" w14:textId="60E981AE" w:rsidR="007B0233" w:rsidRPr="00EC73D2" w:rsidRDefault="007B0233" w:rsidP="00EC73D2">
            <w:pPr>
              <w:pStyle w:val="NormalWeb"/>
              <w:numPr>
                <w:ilvl w:val="0"/>
                <w:numId w:val="27"/>
              </w:numPr>
              <w:rPr>
                <w:rFonts w:ascii="Arial" w:hAnsi="Arial"/>
                <w:color w:val="0D0D0D"/>
                <w:szCs w:val="20"/>
              </w:rPr>
            </w:pPr>
            <w:r w:rsidRPr="00EC73D2">
              <w:rPr>
                <w:rFonts w:ascii="Arial" w:hAnsi="Arial"/>
                <w:color w:val="0D0D0D"/>
                <w:szCs w:val="20"/>
              </w:rPr>
              <w:lastRenderedPageBreak/>
              <w:t>Work scrutiny demonstrates increased comprehension, vocabulary use, and reading strategies applied across subjects.</w:t>
            </w:r>
          </w:p>
          <w:p w14:paraId="0E10992C" w14:textId="77777777" w:rsidR="00EC73D2" w:rsidRPr="00EC73D2" w:rsidRDefault="007B0233" w:rsidP="00EC73D2">
            <w:pPr>
              <w:pStyle w:val="NormalWeb"/>
              <w:numPr>
                <w:ilvl w:val="0"/>
                <w:numId w:val="27"/>
              </w:numPr>
              <w:rPr>
                <w:rFonts w:ascii="Arial" w:hAnsi="Arial"/>
                <w:color w:val="0D0D0D"/>
                <w:szCs w:val="20"/>
              </w:rPr>
            </w:pPr>
            <w:r w:rsidRPr="00EC73D2">
              <w:rPr>
                <w:rFonts w:ascii="Arial" w:hAnsi="Arial"/>
                <w:color w:val="0D0D0D"/>
                <w:szCs w:val="20"/>
              </w:rPr>
              <w:t>Lesson observations and learning walks show pupils engaging with texts confidently, using appropriate strategies to decode and understand challenging material.</w:t>
            </w:r>
            <w:r w:rsidR="00EC73D2" w:rsidRPr="00EC73D2">
              <w:rPr>
                <w:rFonts w:ascii="Arial" w:hAnsi="Arial"/>
                <w:color w:val="0D0D0D"/>
                <w:szCs w:val="20"/>
              </w:rPr>
              <w:t xml:space="preserve"> </w:t>
            </w:r>
          </w:p>
          <w:p w14:paraId="626D4E3C" w14:textId="2354F32E" w:rsidR="00EC73D2" w:rsidRPr="00EC73D2" w:rsidRDefault="00EC73D2" w:rsidP="00EC73D2">
            <w:pPr>
              <w:pStyle w:val="NormalWeb"/>
              <w:numPr>
                <w:ilvl w:val="0"/>
                <w:numId w:val="27"/>
              </w:numPr>
              <w:rPr>
                <w:rFonts w:ascii="Arial" w:hAnsi="Arial"/>
                <w:color w:val="0D0D0D"/>
                <w:szCs w:val="20"/>
              </w:rPr>
            </w:pPr>
            <w:r w:rsidRPr="00EC73D2">
              <w:rPr>
                <w:rFonts w:ascii="Arial" w:hAnsi="Arial"/>
                <w:color w:val="0D0D0D"/>
                <w:szCs w:val="20"/>
              </w:rPr>
              <w:t>Pupils report increased confidence and enjoyment in reading, including for texts that are more challenging than their current ability level.</w:t>
            </w:r>
          </w:p>
          <w:p w14:paraId="165F4491" w14:textId="2E79762A" w:rsidR="00EC73D2" w:rsidRPr="00EC73D2" w:rsidRDefault="00EC73D2" w:rsidP="00EC73D2">
            <w:pPr>
              <w:pStyle w:val="NormalWeb"/>
              <w:numPr>
                <w:ilvl w:val="0"/>
                <w:numId w:val="27"/>
              </w:numPr>
              <w:rPr>
                <w:rFonts w:ascii="Arial" w:hAnsi="Arial"/>
                <w:color w:val="0D0D0D"/>
                <w:szCs w:val="20"/>
              </w:rPr>
            </w:pPr>
            <w:r w:rsidRPr="00EC73D2">
              <w:rPr>
                <w:rFonts w:ascii="Arial" w:hAnsi="Arial"/>
                <w:color w:val="0D0D0D"/>
                <w:szCs w:val="20"/>
              </w:rPr>
              <w:t>Pupils can articulate strategies they use to understand and discuss texts.</w:t>
            </w:r>
          </w:p>
          <w:p w14:paraId="6D8ADFC0" w14:textId="5FD63050" w:rsidR="007B0233" w:rsidRPr="00EC73D2" w:rsidRDefault="007B0233" w:rsidP="007B0233">
            <w:pPr>
              <w:pStyle w:val="NormalWeb"/>
              <w:rPr>
                <w:rFonts w:ascii="Arial" w:hAnsi="Arial"/>
                <w:color w:val="0D0D0D"/>
                <w:szCs w:val="20"/>
              </w:rPr>
            </w:pPr>
          </w:p>
          <w:p w14:paraId="2A7D5505" w14:textId="305D896F" w:rsidR="007B0233" w:rsidRPr="00EC73D2" w:rsidRDefault="007B0233">
            <w:pPr>
              <w:pStyle w:val="TableRowCentered"/>
              <w:jc w:val="left"/>
            </w:pPr>
          </w:p>
        </w:tc>
      </w:tr>
      <w:tr w:rsidR="007B0233" w14:paraId="2A7D5509" w14:textId="77777777" w:rsidTr="00EC73D2">
        <w:tc>
          <w:tcPr>
            <w:tcW w:w="874" w:type="dxa"/>
            <w:tcBorders>
              <w:top w:val="single" w:sz="4" w:space="0" w:color="000000"/>
              <w:left w:val="single" w:sz="4" w:space="0" w:color="000000"/>
              <w:bottom w:val="single" w:sz="4" w:space="0" w:color="000000"/>
              <w:right w:val="single" w:sz="4" w:space="0" w:color="000000"/>
            </w:tcBorders>
          </w:tcPr>
          <w:p w14:paraId="2249C2E8" w14:textId="322291D9" w:rsidR="007B0233" w:rsidRPr="00525806" w:rsidRDefault="007B0233" w:rsidP="007B0233">
            <w:pPr>
              <w:pStyle w:val="NormalWeb"/>
              <w:ind w:left="720"/>
              <w:rPr>
                <w:rFonts w:ascii="Arial" w:hAnsi="Arial"/>
                <w:color w:val="0D0D0D"/>
                <w:szCs w:val="20"/>
              </w:rPr>
            </w:pPr>
            <w:r>
              <w:rPr>
                <w:rFonts w:ascii="Arial" w:hAnsi="Arial"/>
                <w:color w:val="0D0D0D"/>
                <w:szCs w:val="20"/>
              </w:rPr>
              <w:lastRenderedPageBreak/>
              <w:t>2</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DC7C3" w14:textId="4B449D0C" w:rsidR="007B0233" w:rsidRPr="00525806" w:rsidRDefault="007B0233" w:rsidP="00EC73D2">
            <w:pPr>
              <w:pStyle w:val="NormalWeb"/>
              <w:rPr>
                <w:rFonts w:ascii="Arial" w:hAnsi="Arial"/>
                <w:color w:val="0D0D0D"/>
                <w:szCs w:val="20"/>
              </w:rPr>
            </w:pPr>
            <w:r w:rsidRPr="00525806">
              <w:rPr>
                <w:rFonts w:ascii="Arial" w:hAnsi="Arial"/>
                <w:color w:val="0D0D0D"/>
                <w:szCs w:val="20"/>
              </w:rPr>
              <w:t>By the end of this strategy plan, 80%+ of pupils across all year groups will meet age-related expectations in writing.</w:t>
            </w:r>
          </w:p>
          <w:p w14:paraId="538542B4" w14:textId="01C83CA5" w:rsidR="007B0233" w:rsidRPr="00525806" w:rsidRDefault="007B0233" w:rsidP="00EC73D2">
            <w:pPr>
              <w:pStyle w:val="NormalWeb"/>
              <w:rPr>
                <w:rFonts w:ascii="Arial" w:hAnsi="Arial"/>
                <w:color w:val="0D0D0D"/>
                <w:szCs w:val="20"/>
              </w:rPr>
            </w:pPr>
            <w:r w:rsidRPr="00525806">
              <w:rPr>
                <w:rFonts w:ascii="Arial" w:hAnsi="Arial"/>
                <w:color w:val="0D0D0D"/>
                <w:szCs w:val="20"/>
              </w:rPr>
              <w:t>Gaps between key pupil groups will be significantly reduced, and work scrutiny will show consistently high-quality writing that meets national standards.</w:t>
            </w:r>
          </w:p>
          <w:p w14:paraId="2A7D5507" w14:textId="1493595E" w:rsidR="007B0233" w:rsidRDefault="007B0233">
            <w:pPr>
              <w:pStyle w:val="TableRow"/>
              <w:rPr>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12EB6" w14:textId="7B68E641" w:rsidR="003A75F5" w:rsidRPr="003A75F5" w:rsidRDefault="003A75F5" w:rsidP="003A75F5">
            <w:pPr>
              <w:pStyle w:val="NormalWeb"/>
              <w:numPr>
                <w:ilvl w:val="0"/>
                <w:numId w:val="28"/>
              </w:numPr>
              <w:rPr>
                <w:rFonts w:ascii="Arial" w:hAnsi="Arial"/>
                <w:color w:val="0D0D0D"/>
                <w:szCs w:val="20"/>
              </w:rPr>
            </w:pPr>
            <w:r w:rsidRPr="003A75F5">
              <w:rPr>
                <w:rFonts w:ascii="Arial" w:hAnsi="Arial"/>
                <w:color w:val="0D0D0D"/>
                <w:szCs w:val="20"/>
              </w:rPr>
              <w:t>Internal assessment data and teacher records show measurable progress over time for all pupils, including those previously underperforming.</w:t>
            </w:r>
          </w:p>
          <w:p w14:paraId="65B9C000" w14:textId="0256436D" w:rsidR="003A75F5" w:rsidRPr="003A75F5" w:rsidRDefault="003A75F5" w:rsidP="003A75F5">
            <w:pPr>
              <w:pStyle w:val="NormalWeb"/>
              <w:numPr>
                <w:ilvl w:val="0"/>
                <w:numId w:val="28"/>
              </w:numPr>
              <w:rPr>
                <w:rFonts w:ascii="Arial" w:hAnsi="Arial"/>
                <w:color w:val="0D0D0D"/>
                <w:szCs w:val="20"/>
              </w:rPr>
            </w:pPr>
            <w:r w:rsidRPr="003A75F5">
              <w:rPr>
                <w:rFonts w:ascii="Arial" w:hAnsi="Arial"/>
                <w:color w:val="0D0D0D"/>
                <w:szCs w:val="20"/>
              </w:rPr>
              <w:t>Targeted support and interventions result in clear improvements for pupils below age-related expectations.</w:t>
            </w:r>
          </w:p>
          <w:p w14:paraId="3C24807D" w14:textId="42657128" w:rsidR="003A75F5" w:rsidRPr="003A75F5" w:rsidRDefault="003A75F5" w:rsidP="003A75F5">
            <w:pPr>
              <w:pStyle w:val="NormalWeb"/>
              <w:numPr>
                <w:ilvl w:val="0"/>
                <w:numId w:val="28"/>
              </w:numPr>
              <w:rPr>
                <w:rFonts w:ascii="Arial" w:hAnsi="Arial"/>
                <w:color w:val="0D0D0D"/>
                <w:szCs w:val="20"/>
              </w:rPr>
            </w:pPr>
            <w:r w:rsidRPr="003A75F5">
              <w:rPr>
                <w:rFonts w:ascii="Arial" w:hAnsi="Arial"/>
                <w:color w:val="0D0D0D"/>
                <w:szCs w:val="20"/>
              </w:rPr>
              <w:t>Book scrutiny demonstrates high-quality writing across all year groups, showing consistent application of age-appropriate grammar, punctuation, spelling, and sentence structure.</w:t>
            </w:r>
          </w:p>
          <w:p w14:paraId="5F620CB5" w14:textId="48B2ED17" w:rsidR="003A75F5" w:rsidRPr="003A75F5" w:rsidRDefault="003A75F5" w:rsidP="003A75F5">
            <w:pPr>
              <w:pStyle w:val="NormalWeb"/>
              <w:numPr>
                <w:ilvl w:val="0"/>
                <w:numId w:val="28"/>
              </w:numPr>
              <w:rPr>
                <w:rFonts w:ascii="Arial" w:hAnsi="Arial"/>
                <w:color w:val="0D0D0D"/>
                <w:szCs w:val="20"/>
              </w:rPr>
            </w:pPr>
            <w:r w:rsidRPr="003A75F5">
              <w:rPr>
                <w:rFonts w:ascii="Arial" w:hAnsi="Arial"/>
                <w:color w:val="0D0D0D"/>
                <w:szCs w:val="20"/>
              </w:rPr>
              <w:t>Pupils independently produce well-structured, coherent, and ambitious writing in a range of genres.</w:t>
            </w:r>
          </w:p>
          <w:p w14:paraId="356D3226" w14:textId="133E68DE" w:rsidR="003A75F5" w:rsidRPr="003A75F5" w:rsidRDefault="003A75F5" w:rsidP="003A75F5">
            <w:pPr>
              <w:pStyle w:val="NormalWeb"/>
              <w:numPr>
                <w:ilvl w:val="0"/>
                <w:numId w:val="28"/>
              </w:numPr>
              <w:rPr>
                <w:rFonts w:ascii="Arial" w:hAnsi="Arial"/>
                <w:color w:val="0D0D0D"/>
                <w:szCs w:val="20"/>
              </w:rPr>
            </w:pPr>
            <w:r w:rsidRPr="003A75F5">
              <w:rPr>
                <w:rFonts w:ascii="Arial" w:hAnsi="Arial"/>
                <w:color w:val="0D0D0D"/>
                <w:szCs w:val="20"/>
              </w:rPr>
              <w:t>Pupils can articulate their understanding of writing skills and strategies.</w:t>
            </w:r>
          </w:p>
          <w:p w14:paraId="3929A8AF" w14:textId="5C49DA7F" w:rsidR="003A75F5" w:rsidRPr="003A75F5" w:rsidRDefault="003A75F5" w:rsidP="003A75F5">
            <w:pPr>
              <w:pStyle w:val="NormalWeb"/>
              <w:numPr>
                <w:ilvl w:val="0"/>
                <w:numId w:val="28"/>
              </w:numPr>
              <w:rPr>
                <w:rFonts w:ascii="Arial" w:hAnsi="Arial"/>
                <w:color w:val="0D0D0D"/>
                <w:szCs w:val="20"/>
              </w:rPr>
            </w:pPr>
            <w:r w:rsidRPr="003A75F5">
              <w:rPr>
                <w:rFonts w:ascii="Arial" w:hAnsi="Arial"/>
                <w:color w:val="0D0D0D"/>
                <w:szCs w:val="20"/>
              </w:rPr>
              <w:t>Pupils demonstrate confidence and pride in their written work and actively engage in revising and improving it.</w:t>
            </w:r>
          </w:p>
          <w:p w14:paraId="29D66A92" w14:textId="77777777" w:rsidR="003A75F5" w:rsidRDefault="003A75F5" w:rsidP="003A75F5">
            <w:pPr>
              <w:pStyle w:val="NormalWeb"/>
            </w:pPr>
          </w:p>
          <w:p w14:paraId="2A7D5508" w14:textId="0F6E424A" w:rsidR="007B0233" w:rsidRDefault="007B0233">
            <w:pPr>
              <w:pStyle w:val="TableRowCentered"/>
              <w:jc w:val="left"/>
              <w:rPr>
                <w:sz w:val="22"/>
                <w:szCs w:val="22"/>
              </w:rPr>
            </w:pPr>
          </w:p>
        </w:tc>
      </w:tr>
      <w:tr w:rsidR="007B0233" w14:paraId="0A23C3D7" w14:textId="77777777" w:rsidTr="00EC73D2">
        <w:tc>
          <w:tcPr>
            <w:tcW w:w="874" w:type="dxa"/>
            <w:tcBorders>
              <w:top w:val="single" w:sz="4" w:space="0" w:color="000000"/>
              <w:left w:val="single" w:sz="4" w:space="0" w:color="000000"/>
              <w:bottom w:val="single" w:sz="4" w:space="0" w:color="000000"/>
              <w:right w:val="single" w:sz="4" w:space="0" w:color="000000"/>
            </w:tcBorders>
          </w:tcPr>
          <w:p w14:paraId="286B8C2A" w14:textId="73420F6A" w:rsidR="007B0233" w:rsidRPr="007B0233" w:rsidRDefault="007B0233" w:rsidP="007B0233">
            <w:pPr>
              <w:pStyle w:val="NormalWeb"/>
              <w:ind w:left="720"/>
              <w:rPr>
                <w:rFonts w:ascii="Arial" w:hAnsi="Arial"/>
                <w:color w:val="0D0D0D"/>
                <w:szCs w:val="20"/>
              </w:rPr>
            </w:pPr>
            <w:r>
              <w:rPr>
                <w:rFonts w:ascii="Arial" w:hAnsi="Arial"/>
                <w:color w:val="0D0D0D"/>
                <w:szCs w:val="20"/>
              </w:rPr>
              <w:lastRenderedPageBreak/>
              <w:t>3</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B38EF" w14:textId="7E0A4427" w:rsidR="007B0233" w:rsidRPr="007B0233" w:rsidRDefault="007B0233" w:rsidP="00EC73D2">
            <w:pPr>
              <w:pStyle w:val="NormalWeb"/>
              <w:rPr>
                <w:rFonts w:ascii="Arial" w:hAnsi="Arial"/>
                <w:color w:val="0D0D0D"/>
                <w:szCs w:val="20"/>
              </w:rPr>
            </w:pPr>
            <w:r w:rsidRPr="007B0233">
              <w:rPr>
                <w:rFonts w:ascii="Arial" w:hAnsi="Arial"/>
                <w:color w:val="0D0D0D"/>
                <w:szCs w:val="20"/>
              </w:rPr>
              <w:t>By the end of this strategy plan, at least 85% of pupils will achieve age-related expectations in mathematics.</w:t>
            </w:r>
            <w:r w:rsidR="00022488">
              <w:rPr>
                <w:rFonts w:ascii="Arial" w:hAnsi="Arial"/>
                <w:color w:val="0D0D0D"/>
                <w:szCs w:val="20"/>
              </w:rPr>
              <w:t xml:space="preserve"> </w:t>
            </w:r>
            <w:r w:rsidR="00022488" w:rsidRPr="00022488">
              <w:rPr>
                <w:rFonts w:ascii="Arial" w:hAnsi="Arial"/>
                <w:color w:val="0D0D0D"/>
                <w:szCs w:val="20"/>
              </w:rPr>
              <w:t>Disadvantaged pupils and those with SEND make progress in line with or exceeding that of their peers.</w:t>
            </w:r>
          </w:p>
          <w:p w14:paraId="3A13EC2F" w14:textId="4E6FC52D" w:rsidR="007B0233" w:rsidRPr="007B0233" w:rsidRDefault="007B0233" w:rsidP="00EC73D2">
            <w:pPr>
              <w:pStyle w:val="NormalWeb"/>
              <w:rPr>
                <w:rFonts w:ascii="Arial" w:hAnsi="Arial"/>
                <w:color w:val="0D0D0D"/>
                <w:szCs w:val="20"/>
              </w:rPr>
            </w:pPr>
            <w:r w:rsidRPr="007B0233">
              <w:rPr>
                <w:rFonts w:ascii="Arial" w:hAnsi="Arial"/>
                <w:color w:val="0D0D0D"/>
                <w:szCs w:val="20"/>
              </w:rPr>
              <w:t>Pupils will demonstrate secure understanding of core number facts and mathematical vocabulary, evidenced through assessments, reasoning tasks and pupil explanations.</w:t>
            </w:r>
          </w:p>
          <w:p w14:paraId="5FFAB257" w14:textId="2958AC3B" w:rsidR="007B0233" w:rsidRPr="007B0233" w:rsidRDefault="007B0233" w:rsidP="007B0233">
            <w:pPr>
              <w:pStyle w:val="TableRow"/>
              <w:tabs>
                <w:tab w:val="left" w:pos="1576"/>
              </w:tabs>
              <w:rPr>
                <w:szCs w:val="20"/>
              </w:rPr>
            </w:pPr>
          </w:p>
        </w:tc>
        <w:tc>
          <w:tcPr>
            <w:tcW w:w="4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6A7E3" w14:textId="43C10B59" w:rsidR="00022488" w:rsidRPr="00022488" w:rsidRDefault="00022488" w:rsidP="00022488">
            <w:pPr>
              <w:pStyle w:val="NormalWeb"/>
              <w:numPr>
                <w:ilvl w:val="0"/>
                <w:numId w:val="29"/>
              </w:numPr>
              <w:rPr>
                <w:rFonts w:ascii="Arial" w:hAnsi="Arial"/>
                <w:color w:val="0D0D0D"/>
                <w:szCs w:val="20"/>
              </w:rPr>
            </w:pPr>
            <w:r w:rsidRPr="00022488">
              <w:rPr>
                <w:rFonts w:ascii="Arial" w:hAnsi="Arial"/>
                <w:color w:val="0D0D0D"/>
                <w:szCs w:val="20"/>
              </w:rPr>
              <w:t>Assessments and reasoning tasks show pupils can apply mathematical knowledge confidently to solve problems and explain their thinking.</w:t>
            </w:r>
          </w:p>
          <w:p w14:paraId="06B1D15A" w14:textId="5FDD1DC9" w:rsidR="00022488" w:rsidRPr="00022488" w:rsidRDefault="00022488" w:rsidP="00022488">
            <w:pPr>
              <w:pStyle w:val="NormalWeb"/>
              <w:numPr>
                <w:ilvl w:val="0"/>
                <w:numId w:val="29"/>
              </w:numPr>
              <w:rPr>
                <w:rFonts w:ascii="Arial" w:hAnsi="Arial"/>
                <w:color w:val="0D0D0D"/>
                <w:szCs w:val="20"/>
              </w:rPr>
            </w:pPr>
            <w:r w:rsidRPr="00022488">
              <w:rPr>
                <w:rFonts w:ascii="Arial" w:hAnsi="Arial"/>
                <w:color w:val="0D0D0D"/>
                <w:szCs w:val="20"/>
              </w:rPr>
              <w:t>Lesson observations and work scrutiny evidence pupils selecting appropriate strategies and reasoning logically.</w:t>
            </w:r>
          </w:p>
          <w:p w14:paraId="6643FE5F" w14:textId="04561BCA" w:rsidR="00022488" w:rsidRPr="00022488" w:rsidRDefault="00022488" w:rsidP="00022488">
            <w:pPr>
              <w:pStyle w:val="NormalWeb"/>
              <w:numPr>
                <w:ilvl w:val="0"/>
                <w:numId w:val="29"/>
              </w:numPr>
              <w:rPr>
                <w:rFonts w:ascii="Arial" w:hAnsi="Arial"/>
                <w:color w:val="0D0D0D"/>
                <w:szCs w:val="20"/>
              </w:rPr>
            </w:pPr>
            <w:r w:rsidRPr="00022488">
              <w:rPr>
                <w:rFonts w:ascii="Arial" w:hAnsi="Arial"/>
                <w:color w:val="0D0D0D"/>
                <w:szCs w:val="20"/>
              </w:rPr>
              <w:t>Pupils demonstrate secure understanding of core number facts, including addition, subtraction, multiplication, and division.</w:t>
            </w:r>
          </w:p>
          <w:p w14:paraId="598260D9" w14:textId="7674D86A" w:rsidR="00022488" w:rsidRPr="00022488" w:rsidRDefault="00022488" w:rsidP="00022488">
            <w:pPr>
              <w:pStyle w:val="NormalWeb"/>
              <w:numPr>
                <w:ilvl w:val="0"/>
                <w:numId w:val="29"/>
              </w:numPr>
              <w:rPr>
                <w:rFonts w:ascii="Arial" w:hAnsi="Arial"/>
                <w:color w:val="0D0D0D"/>
                <w:szCs w:val="20"/>
              </w:rPr>
            </w:pPr>
            <w:r w:rsidRPr="00022488">
              <w:rPr>
                <w:rFonts w:ascii="Arial" w:hAnsi="Arial"/>
                <w:color w:val="0D0D0D"/>
                <w:szCs w:val="20"/>
              </w:rPr>
              <w:t>Pupils use and apply mathematical vocabulary accurately in written and verbal explanations.</w:t>
            </w:r>
          </w:p>
          <w:p w14:paraId="37DE5576" w14:textId="7B9F5802" w:rsidR="00022488" w:rsidRPr="00022488" w:rsidRDefault="00022488" w:rsidP="00022488">
            <w:pPr>
              <w:pStyle w:val="NormalWeb"/>
              <w:numPr>
                <w:ilvl w:val="0"/>
                <w:numId w:val="29"/>
              </w:numPr>
              <w:rPr>
                <w:rFonts w:ascii="Arial" w:hAnsi="Arial"/>
                <w:color w:val="0D0D0D"/>
                <w:szCs w:val="20"/>
              </w:rPr>
            </w:pPr>
            <w:r w:rsidRPr="00022488">
              <w:rPr>
                <w:rFonts w:ascii="Arial" w:hAnsi="Arial"/>
                <w:color w:val="0D0D0D"/>
                <w:szCs w:val="20"/>
              </w:rPr>
              <w:t>Pupils can explain methods, justify answers, and articulate their understanding clearly.</w:t>
            </w:r>
          </w:p>
          <w:p w14:paraId="67816A3B" w14:textId="2B004E85" w:rsidR="00022488" w:rsidRPr="00022488" w:rsidRDefault="00022488" w:rsidP="00022488">
            <w:pPr>
              <w:pStyle w:val="NormalWeb"/>
              <w:numPr>
                <w:ilvl w:val="0"/>
                <w:numId w:val="29"/>
              </w:numPr>
              <w:rPr>
                <w:rFonts w:ascii="Arial" w:hAnsi="Arial"/>
                <w:color w:val="0D0D0D"/>
                <w:szCs w:val="20"/>
              </w:rPr>
            </w:pPr>
            <w:r w:rsidRPr="00022488">
              <w:rPr>
                <w:rFonts w:ascii="Arial" w:hAnsi="Arial"/>
                <w:color w:val="0D0D0D"/>
                <w:szCs w:val="20"/>
              </w:rPr>
              <w:t>Pupils show confidence and resilience when tackling challenging mathematical problems.</w:t>
            </w:r>
          </w:p>
          <w:p w14:paraId="4C81AB19" w14:textId="77777777" w:rsidR="00022488" w:rsidRPr="00022488" w:rsidRDefault="00022488" w:rsidP="00022488">
            <w:pPr>
              <w:pStyle w:val="NormalWeb"/>
              <w:rPr>
                <w:rFonts w:ascii="Arial" w:hAnsi="Arial"/>
                <w:color w:val="0D0D0D"/>
                <w:szCs w:val="20"/>
              </w:rPr>
            </w:pPr>
          </w:p>
          <w:p w14:paraId="5C43A0FB" w14:textId="79CA3E12" w:rsidR="00022488" w:rsidRPr="00022488" w:rsidRDefault="00022488" w:rsidP="00022488">
            <w:pPr>
              <w:pStyle w:val="NormalWeb"/>
              <w:rPr>
                <w:rFonts w:ascii="Arial" w:hAnsi="Arial"/>
                <w:color w:val="0D0D0D"/>
                <w:szCs w:val="20"/>
              </w:rPr>
            </w:pPr>
          </w:p>
          <w:p w14:paraId="2F988B46" w14:textId="13F1D7FE" w:rsidR="007B0233" w:rsidRPr="00022488" w:rsidRDefault="007B0233">
            <w:pPr>
              <w:pStyle w:val="TableRowCentered"/>
              <w:jc w:val="left"/>
            </w:pPr>
          </w:p>
        </w:tc>
      </w:tr>
      <w:tr w:rsidR="007B0233" w14:paraId="2A7D550F" w14:textId="77777777" w:rsidTr="00EC73D2">
        <w:tc>
          <w:tcPr>
            <w:tcW w:w="874" w:type="dxa"/>
            <w:tcBorders>
              <w:top w:val="single" w:sz="4" w:space="0" w:color="000000"/>
              <w:left w:val="single" w:sz="4" w:space="0" w:color="000000"/>
              <w:bottom w:val="single" w:sz="4" w:space="0" w:color="000000"/>
              <w:right w:val="single" w:sz="4" w:space="0" w:color="000000"/>
            </w:tcBorders>
          </w:tcPr>
          <w:p w14:paraId="5B173562" w14:textId="485650B1" w:rsidR="007B0233" w:rsidRPr="007B0233" w:rsidRDefault="007B0233" w:rsidP="007B0233">
            <w:pPr>
              <w:pStyle w:val="NormalWeb"/>
              <w:ind w:left="720"/>
              <w:rPr>
                <w:rFonts w:ascii="Arial" w:hAnsi="Arial"/>
                <w:color w:val="0D0D0D"/>
                <w:szCs w:val="20"/>
              </w:rPr>
            </w:pPr>
            <w:r>
              <w:rPr>
                <w:rFonts w:ascii="Arial" w:hAnsi="Arial"/>
                <w:color w:val="0D0D0D"/>
                <w:szCs w:val="20"/>
              </w:rPr>
              <w:t>4</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A052A" w14:textId="40ECE4ED" w:rsidR="007B0233" w:rsidRPr="007B0233" w:rsidRDefault="007B0233" w:rsidP="00EC73D2">
            <w:pPr>
              <w:pStyle w:val="NormalWeb"/>
              <w:rPr>
                <w:rFonts w:ascii="Arial" w:hAnsi="Arial"/>
                <w:color w:val="0D0D0D"/>
                <w:szCs w:val="20"/>
              </w:rPr>
            </w:pPr>
            <w:r w:rsidRPr="007B0233">
              <w:rPr>
                <w:rFonts w:ascii="Arial" w:hAnsi="Arial"/>
                <w:color w:val="0D0D0D"/>
                <w:szCs w:val="20"/>
              </w:rPr>
              <w:t>By the end of this strategy plan</w:t>
            </w:r>
            <w:r>
              <w:rPr>
                <w:rFonts w:ascii="Arial" w:hAnsi="Arial"/>
                <w:color w:val="0D0D0D"/>
                <w:szCs w:val="20"/>
              </w:rPr>
              <w:t>,</w:t>
            </w:r>
            <w:r>
              <w:t xml:space="preserve"> </w:t>
            </w:r>
            <w:r w:rsidRPr="007B0233">
              <w:rPr>
                <w:rFonts w:ascii="Arial" w:hAnsi="Arial"/>
                <w:color w:val="0D0D0D"/>
                <w:szCs w:val="20"/>
              </w:rPr>
              <w:t>all pupils, including the most disadvantaged, will have equitable access to high-quality talk and vocabulary-rich learning opportunities across the curriculum.</w:t>
            </w:r>
          </w:p>
          <w:p w14:paraId="1124DB6D" w14:textId="38BDA279" w:rsidR="007B0233" w:rsidRPr="007B0233" w:rsidRDefault="007B0233" w:rsidP="00EC73D2">
            <w:pPr>
              <w:pStyle w:val="NormalWeb"/>
              <w:rPr>
                <w:rFonts w:ascii="Arial" w:hAnsi="Arial"/>
                <w:color w:val="0D0D0D"/>
                <w:szCs w:val="20"/>
              </w:rPr>
            </w:pPr>
            <w:r w:rsidRPr="007B0233">
              <w:rPr>
                <w:rFonts w:ascii="Arial" w:hAnsi="Arial"/>
                <w:color w:val="0D0D0D"/>
                <w:szCs w:val="20"/>
              </w:rPr>
              <w:t>Assessment, observation, and pupil voice will show that disadvantaged pupils use a wide and ambitious vocabulary confidently in speaking and writing, enabling them to fully access challenging texts and tasks alongside their peers.</w:t>
            </w:r>
          </w:p>
          <w:p w14:paraId="4E029CCB" w14:textId="5E0EC370" w:rsidR="007B0233" w:rsidRDefault="007B0233" w:rsidP="00EC73D2">
            <w:pPr>
              <w:pStyle w:val="NormalWeb"/>
            </w:pPr>
            <w:r w:rsidRPr="007B0233">
              <w:rPr>
                <w:rFonts w:ascii="Arial" w:hAnsi="Arial"/>
                <w:color w:val="0D0D0D"/>
                <w:szCs w:val="20"/>
              </w:rPr>
              <w:t>Disadvantaged pupils’ progress in language and communication will be in line with or exceeding that of more advantaged peers</w:t>
            </w:r>
            <w:r>
              <w:t>.</w:t>
            </w:r>
          </w:p>
          <w:p w14:paraId="2A7D550D" w14:textId="5545FA6D" w:rsidR="007B0233" w:rsidRDefault="007B0233" w:rsidP="007B0233">
            <w:pPr>
              <w:pStyle w:val="TableRow"/>
              <w:tabs>
                <w:tab w:val="left" w:pos="1060"/>
              </w:tabs>
              <w:rPr>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4A53A" w14:textId="6E08AB94" w:rsidR="00022488" w:rsidRPr="00022488" w:rsidRDefault="00022488" w:rsidP="00022488">
            <w:pPr>
              <w:pStyle w:val="NormalWeb"/>
              <w:numPr>
                <w:ilvl w:val="0"/>
                <w:numId w:val="30"/>
              </w:numPr>
              <w:rPr>
                <w:rFonts w:ascii="Arial" w:hAnsi="Arial"/>
                <w:color w:val="0D0D0D"/>
                <w:szCs w:val="20"/>
              </w:rPr>
            </w:pPr>
            <w:r w:rsidRPr="00022488">
              <w:rPr>
                <w:rFonts w:ascii="Arial" w:hAnsi="Arial"/>
                <w:color w:val="0D0D0D"/>
                <w:szCs w:val="20"/>
              </w:rPr>
              <w:t>Disadvantaged pupils demonstrate progress in language and communication in line with or exceeding that of their peers, as measured through internal assessments and teacher tracking.</w:t>
            </w:r>
          </w:p>
          <w:p w14:paraId="54FD2854" w14:textId="0DF14C39" w:rsidR="00022488" w:rsidRPr="00022488" w:rsidRDefault="00022488" w:rsidP="00022488">
            <w:pPr>
              <w:pStyle w:val="NormalWeb"/>
              <w:numPr>
                <w:ilvl w:val="0"/>
                <w:numId w:val="30"/>
              </w:numPr>
              <w:rPr>
                <w:rFonts w:ascii="Arial" w:hAnsi="Arial"/>
                <w:color w:val="0D0D0D"/>
                <w:szCs w:val="20"/>
              </w:rPr>
            </w:pPr>
            <w:r w:rsidRPr="00022488">
              <w:rPr>
                <w:rFonts w:ascii="Arial" w:hAnsi="Arial"/>
                <w:color w:val="0D0D0D"/>
                <w:szCs w:val="20"/>
              </w:rPr>
              <w:t>No significant gaps exist in participation or vocabulary development between disadvantaged and more advantaged pupils.</w:t>
            </w:r>
          </w:p>
          <w:p w14:paraId="0F00F1C4" w14:textId="7D05E27F" w:rsidR="00022488" w:rsidRPr="00022488" w:rsidRDefault="00022488" w:rsidP="00022488">
            <w:pPr>
              <w:pStyle w:val="NormalWeb"/>
              <w:numPr>
                <w:ilvl w:val="0"/>
                <w:numId w:val="30"/>
              </w:numPr>
              <w:rPr>
                <w:rFonts w:ascii="Arial" w:hAnsi="Arial"/>
                <w:color w:val="0D0D0D"/>
                <w:szCs w:val="20"/>
              </w:rPr>
            </w:pPr>
            <w:r w:rsidRPr="00022488">
              <w:rPr>
                <w:rFonts w:ascii="Arial" w:hAnsi="Arial"/>
                <w:color w:val="0D0D0D"/>
                <w:szCs w:val="20"/>
              </w:rPr>
              <w:t>Pupils with SEND are supported to access talk and vocabulary opportunities and demonstrate measurable progress.</w:t>
            </w:r>
          </w:p>
          <w:p w14:paraId="79AEC8E2" w14:textId="65CF2064" w:rsidR="00022488" w:rsidRPr="00022488" w:rsidRDefault="00022488" w:rsidP="00022488">
            <w:pPr>
              <w:pStyle w:val="NormalWeb"/>
              <w:numPr>
                <w:ilvl w:val="0"/>
                <w:numId w:val="30"/>
              </w:numPr>
              <w:rPr>
                <w:rFonts w:ascii="Arial" w:hAnsi="Arial"/>
                <w:color w:val="0D0D0D"/>
                <w:szCs w:val="20"/>
              </w:rPr>
            </w:pPr>
            <w:r w:rsidRPr="00022488">
              <w:rPr>
                <w:rFonts w:ascii="Arial" w:hAnsi="Arial"/>
                <w:color w:val="0D0D0D"/>
                <w:szCs w:val="20"/>
              </w:rPr>
              <w:t>Pupil work in writing shows accurate and confident use of a wide and ambitious vocabulary.</w:t>
            </w:r>
          </w:p>
          <w:p w14:paraId="6C78A2FB" w14:textId="561A78B7" w:rsidR="00022488" w:rsidRPr="00022488" w:rsidRDefault="00022488" w:rsidP="00022488">
            <w:pPr>
              <w:pStyle w:val="NormalWeb"/>
              <w:numPr>
                <w:ilvl w:val="0"/>
                <w:numId w:val="30"/>
              </w:numPr>
              <w:rPr>
                <w:rFonts w:ascii="Arial" w:hAnsi="Arial"/>
                <w:color w:val="0D0D0D"/>
                <w:szCs w:val="20"/>
              </w:rPr>
            </w:pPr>
            <w:r w:rsidRPr="00022488">
              <w:rPr>
                <w:rFonts w:ascii="Arial" w:hAnsi="Arial"/>
                <w:color w:val="0D0D0D"/>
                <w:szCs w:val="20"/>
              </w:rPr>
              <w:t>Lesson observations and learning walks show pupils actively using rich vocabulary in discussion, explanation, and reasoning.</w:t>
            </w:r>
          </w:p>
          <w:p w14:paraId="6B1155F7" w14:textId="5095DCE5" w:rsidR="00022488" w:rsidRPr="00022488" w:rsidRDefault="00022488" w:rsidP="00022488">
            <w:pPr>
              <w:pStyle w:val="NormalWeb"/>
              <w:numPr>
                <w:ilvl w:val="0"/>
                <w:numId w:val="30"/>
              </w:numPr>
              <w:rPr>
                <w:rFonts w:ascii="Arial" w:hAnsi="Arial"/>
                <w:color w:val="0D0D0D"/>
                <w:szCs w:val="20"/>
              </w:rPr>
            </w:pPr>
            <w:r w:rsidRPr="00022488">
              <w:rPr>
                <w:rFonts w:ascii="Arial" w:hAnsi="Arial"/>
                <w:color w:val="0D0D0D"/>
                <w:szCs w:val="20"/>
              </w:rPr>
              <w:t>Teachers plan and model vocabulary use effectively, and pupils apply it across the curriculum.</w:t>
            </w:r>
          </w:p>
          <w:p w14:paraId="61E2F539" w14:textId="204823EC" w:rsidR="00022488" w:rsidRPr="00022488" w:rsidRDefault="00022488" w:rsidP="00022488">
            <w:pPr>
              <w:pStyle w:val="NormalWeb"/>
              <w:numPr>
                <w:ilvl w:val="0"/>
                <w:numId w:val="30"/>
              </w:numPr>
              <w:rPr>
                <w:rFonts w:ascii="Arial" w:hAnsi="Arial"/>
                <w:color w:val="0D0D0D"/>
                <w:szCs w:val="20"/>
              </w:rPr>
            </w:pPr>
            <w:r w:rsidRPr="00022488">
              <w:rPr>
                <w:rFonts w:ascii="Arial" w:hAnsi="Arial"/>
                <w:color w:val="0D0D0D"/>
                <w:szCs w:val="20"/>
              </w:rPr>
              <w:lastRenderedPageBreak/>
              <w:t>Pupils can articulate ideas clearly, use newly learned vocabulary appropriately, and explain their reasoning verbally and in writing.</w:t>
            </w:r>
          </w:p>
          <w:p w14:paraId="5AE68204" w14:textId="0A96C956" w:rsidR="00022488" w:rsidRPr="00022488" w:rsidRDefault="00022488" w:rsidP="00022488">
            <w:pPr>
              <w:pStyle w:val="NormalWeb"/>
              <w:numPr>
                <w:ilvl w:val="0"/>
                <w:numId w:val="30"/>
              </w:numPr>
              <w:rPr>
                <w:rFonts w:ascii="Arial" w:hAnsi="Arial"/>
                <w:color w:val="0D0D0D"/>
                <w:szCs w:val="20"/>
              </w:rPr>
            </w:pPr>
            <w:r w:rsidRPr="00022488">
              <w:rPr>
                <w:rFonts w:ascii="Arial" w:hAnsi="Arial"/>
                <w:color w:val="0D0D0D"/>
                <w:szCs w:val="20"/>
              </w:rPr>
              <w:t>Pupils report increased confidence and enjoyment in using complex language and tackling challenging texts.</w:t>
            </w:r>
          </w:p>
          <w:p w14:paraId="2A7D550E" w14:textId="25540477" w:rsidR="007B0233" w:rsidRPr="000D0217" w:rsidRDefault="007B0233" w:rsidP="000D0217">
            <w:pPr>
              <w:pStyle w:val="TableRowCentered"/>
              <w:jc w:val="left"/>
            </w:pPr>
          </w:p>
        </w:tc>
      </w:tr>
      <w:tr w:rsidR="007B0233" w14:paraId="3C0FDDB7" w14:textId="77777777" w:rsidTr="00EC73D2">
        <w:tc>
          <w:tcPr>
            <w:tcW w:w="874" w:type="dxa"/>
            <w:tcBorders>
              <w:top w:val="single" w:sz="4" w:space="0" w:color="000000"/>
              <w:left w:val="single" w:sz="4" w:space="0" w:color="000000"/>
              <w:bottom w:val="single" w:sz="4" w:space="0" w:color="000000"/>
              <w:right w:val="single" w:sz="4" w:space="0" w:color="000000"/>
            </w:tcBorders>
          </w:tcPr>
          <w:p w14:paraId="3D9FF948" w14:textId="32626174" w:rsidR="007B0233" w:rsidRPr="007B0233" w:rsidRDefault="007B0233" w:rsidP="007B0233">
            <w:pPr>
              <w:pStyle w:val="NormalWeb"/>
              <w:ind w:left="720"/>
              <w:rPr>
                <w:rFonts w:ascii="Arial" w:hAnsi="Arial"/>
                <w:color w:val="0D0D0D"/>
                <w:szCs w:val="20"/>
              </w:rPr>
            </w:pPr>
            <w:r>
              <w:rPr>
                <w:rFonts w:ascii="Arial" w:hAnsi="Arial"/>
                <w:color w:val="0D0D0D"/>
                <w:szCs w:val="20"/>
              </w:rPr>
              <w:lastRenderedPageBreak/>
              <w:t>5</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46DB0" w14:textId="2467CFEA" w:rsidR="007B0233" w:rsidRPr="007B0233" w:rsidRDefault="007B0233" w:rsidP="00EC73D2">
            <w:pPr>
              <w:pStyle w:val="NormalWeb"/>
              <w:rPr>
                <w:rFonts w:ascii="Arial" w:hAnsi="Arial"/>
                <w:color w:val="0D0D0D"/>
                <w:szCs w:val="20"/>
              </w:rPr>
            </w:pPr>
            <w:r w:rsidRPr="007B0233">
              <w:rPr>
                <w:rFonts w:ascii="Arial" w:hAnsi="Arial"/>
                <w:color w:val="0D0D0D"/>
                <w:szCs w:val="20"/>
              </w:rPr>
              <w:t>By the end of this strategy plan</w:t>
            </w:r>
            <w:r>
              <w:rPr>
                <w:rFonts w:ascii="Arial" w:hAnsi="Arial"/>
                <w:color w:val="0D0D0D"/>
                <w:szCs w:val="20"/>
              </w:rPr>
              <w:t>,</w:t>
            </w:r>
            <w:r>
              <w:t xml:space="preserve"> </w:t>
            </w:r>
            <w:r w:rsidRPr="007B0233">
              <w:rPr>
                <w:rFonts w:ascii="Arial" w:hAnsi="Arial"/>
                <w:color w:val="0D0D0D"/>
                <w:szCs w:val="20"/>
              </w:rPr>
              <w:t>all pupils and families identified as requiring additional pastoral support will have access to timely, effective interventions, resulting in sustained improvements in wellbeing, behaviour and attendance.</w:t>
            </w:r>
          </w:p>
          <w:p w14:paraId="4F00EF19" w14:textId="77777777" w:rsidR="007B0233" w:rsidRPr="007B0233" w:rsidRDefault="007B0233" w:rsidP="00EC73D2">
            <w:pPr>
              <w:pStyle w:val="NormalWeb"/>
              <w:rPr>
                <w:rFonts w:ascii="Arial" w:hAnsi="Arial"/>
                <w:color w:val="0D0D0D"/>
                <w:szCs w:val="20"/>
              </w:rPr>
            </w:pPr>
            <w:r w:rsidRPr="007B0233">
              <w:rPr>
                <w:rFonts w:ascii="Arial" w:hAnsi="Arial"/>
                <w:color w:val="0D0D0D"/>
                <w:szCs w:val="20"/>
              </w:rPr>
              <w:t>School data and stakeholder feedback will evidence a strong culture of care and support, positively impacting pupils’ readiness to learn.</w:t>
            </w:r>
          </w:p>
          <w:p w14:paraId="443B135B" w14:textId="3E30680C" w:rsidR="007B0233" w:rsidRDefault="007B0233">
            <w:pPr>
              <w:pStyle w:val="TableRow"/>
            </w:pPr>
          </w:p>
        </w:tc>
        <w:tc>
          <w:tcPr>
            <w:tcW w:w="4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C7CBD" w14:textId="0DD24595" w:rsidR="00022488" w:rsidRPr="00AD6567" w:rsidRDefault="00022488" w:rsidP="00022488">
            <w:pPr>
              <w:pStyle w:val="NormalWeb"/>
              <w:numPr>
                <w:ilvl w:val="0"/>
                <w:numId w:val="31"/>
              </w:numPr>
              <w:rPr>
                <w:rFonts w:ascii="Arial" w:hAnsi="Arial"/>
                <w:color w:val="0D0D0D"/>
                <w:szCs w:val="20"/>
              </w:rPr>
            </w:pPr>
            <w:r w:rsidRPr="00AD6567">
              <w:rPr>
                <w:rFonts w:ascii="Arial" w:hAnsi="Arial"/>
                <w:color w:val="0D0D0D"/>
                <w:szCs w:val="20"/>
              </w:rPr>
              <w:t>Support provision is monitored and adjusted to meet changing needs effectively.</w:t>
            </w:r>
          </w:p>
          <w:p w14:paraId="74EC829C" w14:textId="533A4C94" w:rsidR="00022488" w:rsidRPr="00AD6567" w:rsidRDefault="00022488" w:rsidP="00022488">
            <w:pPr>
              <w:pStyle w:val="NormalWeb"/>
              <w:numPr>
                <w:ilvl w:val="0"/>
                <w:numId w:val="31"/>
              </w:numPr>
              <w:rPr>
                <w:rFonts w:ascii="Arial" w:hAnsi="Arial"/>
                <w:color w:val="0D0D0D"/>
                <w:szCs w:val="20"/>
              </w:rPr>
            </w:pPr>
            <w:r w:rsidRPr="00AD6567">
              <w:rPr>
                <w:rFonts w:ascii="Arial" w:hAnsi="Arial"/>
                <w:color w:val="0D0D0D"/>
                <w:szCs w:val="20"/>
              </w:rPr>
              <w:t>Pupil wellbeing surveys and observations show measurable improvements in emotional health and confidence.</w:t>
            </w:r>
          </w:p>
          <w:p w14:paraId="305B81B3" w14:textId="56C416E1" w:rsidR="00022488" w:rsidRPr="00AD6567" w:rsidRDefault="00022488" w:rsidP="00022488">
            <w:pPr>
              <w:pStyle w:val="NormalWeb"/>
              <w:numPr>
                <w:ilvl w:val="0"/>
                <w:numId w:val="31"/>
              </w:numPr>
              <w:rPr>
                <w:rFonts w:ascii="Arial" w:hAnsi="Arial"/>
                <w:color w:val="0D0D0D"/>
                <w:szCs w:val="20"/>
              </w:rPr>
            </w:pPr>
            <w:r w:rsidRPr="00AD6567">
              <w:rPr>
                <w:rFonts w:ascii="Arial" w:hAnsi="Arial"/>
                <w:color w:val="0D0D0D"/>
                <w:szCs w:val="20"/>
              </w:rPr>
              <w:t>Behaviour records indicate a reduction in incidents and increased positive engagement in learning.</w:t>
            </w:r>
          </w:p>
          <w:p w14:paraId="7A776043" w14:textId="3BAEA6F5" w:rsidR="00022488" w:rsidRPr="00AD6567" w:rsidRDefault="00022488" w:rsidP="00022488">
            <w:pPr>
              <w:pStyle w:val="NormalWeb"/>
              <w:numPr>
                <w:ilvl w:val="0"/>
                <w:numId w:val="31"/>
              </w:numPr>
              <w:rPr>
                <w:rFonts w:ascii="Arial" w:hAnsi="Arial"/>
                <w:color w:val="0D0D0D"/>
                <w:szCs w:val="20"/>
              </w:rPr>
            </w:pPr>
            <w:r w:rsidRPr="00AD6567">
              <w:rPr>
                <w:rFonts w:ascii="Arial" w:hAnsi="Arial"/>
                <w:color w:val="0D0D0D"/>
                <w:szCs w:val="20"/>
              </w:rPr>
              <w:t>Attendance for pupils receiving support improves or is maintained at or above school averages.</w:t>
            </w:r>
          </w:p>
          <w:p w14:paraId="50B4D45D" w14:textId="3647CA17" w:rsidR="00022488" w:rsidRPr="00AD6567" w:rsidRDefault="00022488" w:rsidP="00022488">
            <w:pPr>
              <w:pStyle w:val="NormalWeb"/>
              <w:numPr>
                <w:ilvl w:val="0"/>
                <w:numId w:val="31"/>
              </w:numPr>
              <w:rPr>
                <w:rFonts w:ascii="Arial" w:hAnsi="Arial"/>
                <w:color w:val="0D0D0D"/>
                <w:szCs w:val="20"/>
              </w:rPr>
            </w:pPr>
            <w:r w:rsidRPr="00AD6567">
              <w:rPr>
                <w:rFonts w:ascii="Arial" w:hAnsi="Arial"/>
                <w:color w:val="0D0D0D"/>
                <w:szCs w:val="20"/>
              </w:rPr>
              <w:t>Pupils demonstrate increased readiness to learn and participation in lessons and school activities.</w:t>
            </w:r>
          </w:p>
          <w:p w14:paraId="7024A178" w14:textId="7B2099F6" w:rsidR="00022488" w:rsidRPr="00AD6567" w:rsidRDefault="00022488" w:rsidP="00022488">
            <w:pPr>
              <w:pStyle w:val="NormalWeb"/>
              <w:numPr>
                <w:ilvl w:val="0"/>
                <w:numId w:val="31"/>
              </w:numPr>
              <w:rPr>
                <w:rFonts w:ascii="Arial" w:hAnsi="Arial"/>
                <w:color w:val="0D0D0D"/>
                <w:szCs w:val="20"/>
              </w:rPr>
            </w:pPr>
            <w:r w:rsidRPr="00AD6567">
              <w:rPr>
                <w:rFonts w:ascii="Arial" w:hAnsi="Arial"/>
                <w:color w:val="0D0D0D"/>
                <w:szCs w:val="20"/>
              </w:rPr>
              <w:t>Parents, carers, and pupils report satisfaction with support provided through surveys, meetings, or feedback sessions.</w:t>
            </w:r>
          </w:p>
          <w:p w14:paraId="4853641E" w14:textId="2CBF68C1" w:rsidR="00022488" w:rsidRPr="00AD6567" w:rsidRDefault="00022488" w:rsidP="00022488">
            <w:pPr>
              <w:pStyle w:val="NormalWeb"/>
              <w:numPr>
                <w:ilvl w:val="0"/>
                <w:numId w:val="31"/>
              </w:numPr>
              <w:rPr>
                <w:rFonts w:ascii="Arial" w:hAnsi="Arial"/>
                <w:color w:val="0D0D0D"/>
                <w:szCs w:val="20"/>
              </w:rPr>
            </w:pPr>
            <w:r w:rsidRPr="00AD6567">
              <w:rPr>
                <w:rFonts w:ascii="Arial" w:hAnsi="Arial"/>
                <w:color w:val="0D0D0D"/>
                <w:szCs w:val="20"/>
              </w:rPr>
              <w:t>Staff report that pupils are better supported socially and emotionally, enabling improved engagement and learning.</w:t>
            </w:r>
          </w:p>
          <w:p w14:paraId="492286F8" w14:textId="46228DA7" w:rsidR="00022488" w:rsidRPr="00AD6567" w:rsidRDefault="00022488" w:rsidP="00022488">
            <w:pPr>
              <w:pStyle w:val="NormalWeb"/>
              <w:numPr>
                <w:ilvl w:val="0"/>
                <w:numId w:val="31"/>
              </w:numPr>
              <w:rPr>
                <w:rFonts w:ascii="Arial" w:hAnsi="Arial"/>
                <w:color w:val="0D0D0D"/>
                <w:szCs w:val="20"/>
              </w:rPr>
            </w:pPr>
            <w:r w:rsidRPr="00AD6567">
              <w:rPr>
                <w:rFonts w:ascii="Arial" w:hAnsi="Arial"/>
                <w:color w:val="0D0D0D"/>
                <w:szCs w:val="20"/>
              </w:rPr>
              <w:t>School-wide evidence (observations, policy implementation, pastoral records) shows a strong, consistent culture of care.</w:t>
            </w:r>
          </w:p>
          <w:p w14:paraId="296252D1" w14:textId="6FEC2435" w:rsidR="00022488" w:rsidRPr="00022488" w:rsidRDefault="00022488" w:rsidP="00AD6567">
            <w:pPr>
              <w:pStyle w:val="NormalWeb"/>
              <w:numPr>
                <w:ilvl w:val="0"/>
                <w:numId w:val="31"/>
              </w:numPr>
            </w:pPr>
            <w:r w:rsidRPr="00AD6567">
              <w:rPr>
                <w:rFonts w:ascii="Arial" w:hAnsi="Arial"/>
                <w:color w:val="0D0D0D"/>
                <w:szCs w:val="20"/>
              </w:rPr>
              <w:t>Pupil voice reflects that the school is a safe, supportive, and inclusive environment.</w:t>
            </w:r>
          </w:p>
        </w:tc>
      </w:tr>
      <w:tr w:rsidR="007B0233" w14:paraId="56D224CE" w14:textId="77777777" w:rsidTr="00EC73D2">
        <w:tc>
          <w:tcPr>
            <w:tcW w:w="874" w:type="dxa"/>
            <w:tcBorders>
              <w:top w:val="single" w:sz="4" w:space="0" w:color="000000"/>
              <w:left w:val="single" w:sz="4" w:space="0" w:color="000000"/>
              <w:bottom w:val="single" w:sz="4" w:space="0" w:color="000000"/>
              <w:right w:val="single" w:sz="4" w:space="0" w:color="000000"/>
            </w:tcBorders>
          </w:tcPr>
          <w:p w14:paraId="3A42569C" w14:textId="02DC1A93" w:rsidR="007B0233" w:rsidRDefault="007B0233" w:rsidP="007B0233">
            <w:pPr>
              <w:pStyle w:val="TableRow"/>
              <w:jc w:val="right"/>
            </w:pPr>
            <w:r>
              <w:t xml:space="preserve">6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DFC17" w14:textId="00495572" w:rsidR="007B0233" w:rsidRPr="007B0233" w:rsidRDefault="007B0233" w:rsidP="00EC73D2">
            <w:pPr>
              <w:pStyle w:val="NormalWeb"/>
              <w:rPr>
                <w:rFonts w:ascii="Arial" w:hAnsi="Arial"/>
                <w:color w:val="0D0D0D"/>
                <w:szCs w:val="20"/>
              </w:rPr>
            </w:pPr>
            <w:r w:rsidRPr="007B0233">
              <w:rPr>
                <w:rFonts w:ascii="Arial" w:hAnsi="Arial"/>
                <w:color w:val="0D0D0D"/>
                <w:szCs w:val="20"/>
              </w:rPr>
              <w:t xml:space="preserve">By the end of this strategy plan, all pupils will have accessed a broad range of enrichment opportunities that enhance </w:t>
            </w:r>
            <w:r w:rsidRPr="007B0233">
              <w:rPr>
                <w:rFonts w:ascii="Arial" w:hAnsi="Arial"/>
                <w:color w:val="0D0D0D"/>
                <w:szCs w:val="20"/>
              </w:rPr>
              <w:lastRenderedPageBreak/>
              <w:t>cultural capital and understanding of equality and diversity.</w:t>
            </w:r>
          </w:p>
          <w:p w14:paraId="177CE995" w14:textId="185F9F7A" w:rsidR="007B0233" w:rsidRPr="007B0233" w:rsidRDefault="007B0233" w:rsidP="00EC73D2">
            <w:pPr>
              <w:pStyle w:val="NormalWeb"/>
              <w:rPr>
                <w:rFonts w:ascii="Arial" w:hAnsi="Arial"/>
                <w:color w:val="0D0D0D"/>
                <w:szCs w:val="20"/>
              </w:rPr>
            </w:pPr>
            <w:r w:rsidRPr="007B0233">
              <w:rPr>
                <w:rFonts w:ascii="Arial" w:hAnsi="Arial"/>
                <w:color w:val="0D0D0D"/>
                <w:szCs w:val="20"/>
              </w:rPr>
              <w:t>Pupil voice and curriculum evidence will demonstrate secure understanding of diversity, respect and global citizenship, preparing pupils well for life in modern Britain.</w:t>
            </w:r>
          </w:p>
          <w:p w14:paraId="09333F57" w14:textId="3D2B1E9E" w:rsidR="007B0233" w:rsidRDefault="007B0233">
            <w:pPr>
              <w:pStyle w:val="TableRow"/>
            </w:pPr>
          </w:p>
        </w:tc>
        <w:tc>
          <w:tcPr>
            <w:tcW w:w="4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6F27D" w14:textId="3A69C8AE" w:rsidR="00AD6567" w:rsidRPr="00AD6567" w:rsidRDefault="00AD6567" w:rsidP="00AD6567">
            <w:pPr>
              <w:pStyle w:val="NormalWeb"/>
              <w:numPr>
                <w:ilvl w:val="0"/>
                <w:numId w:val="32"/>
              </w:numPr>
              <w:rPr>
                <w:rFonts w:ascii="Arial" w:hAnsi="Arial"/>
                <w:color w:val="0D0D0D"/>
                <w:szCs w:val="20"/>
              </w:rPr>
            </w:pPr>
            <w:r w:rsidRPr="00AD6567">
              <w:rPr>
                <w:rFonts w:ascii="Arial" w:hAnsi="Arial"/>
                <w:color w:val="0D0D0D"/>
                <w:szCs w:val="20"/>
              </w:rPr>
              <w:lastRenderedPageBreak/>
              <w:t>Curriculum planning and work scrutiny show pupils are learning about diversity, equality, fairness, and global issues.</w:t>
            </w:r>
          </w:p>
          <w:p w14:paraId="05CEA280" w14:textId="074493A1" w:rsidR="00AD6567" w:rsidRPr="00AD6567" w:rsidRDefault="00AD6567" w:rsidP="00AD6567">
            <w:pPr>
              <w:pStyle w:val="ListParagraph"/>
              <w:numPr>
                <w:ilvl w:val="0"/>
                <w:numId w:val="32"/>
              </w:numPr>
              <w:suppressAutoHyphens w:val="0"/>
              <w:autoSpaceDN/>
              <w:spacing w:before="100" w:beforeAutospacing="1" w:after="100" w:afterAutospacing="1" w:line="240" w:lineRule="auto"/>
              <w:rPr>
                <w:szCs w:val="20"/>
              </w:rPr>
            </w:pPr>
            <w:r w:rsidRPr="00AD6567">
              <w:rPr>
                <w:szCs w:val="20"/>
              </w:rPr>
              <w:lastRenderedPageBreak/>
              <w:t>All pupils, including disadvantaged pupils, have equitable access to enrichment activities and curriculum opportunities.</w:t>
            </w:r>
          </w:p>
          <w:p w14:paraId="633CB7C7" w14:textId="38B5EDE1" w:rsidR="00AD6567" w:rsidRPr="00AD6567" w:rsidRDefault="00AD6567" w:rsidP="00AD6567">
            <w:pPr>
              <w:pStyle w:val="ListParagraph"/>
              <w:numPr>
                <w:ilvl w:val="0"/>
                <w:numId w:val="32"/>
              </w:numPr>
              <w:suppressAutoHyphens w:val="0"/>
              <w:autoSpaceDN/>
              <w:spacing w:before="100" w:beforeAutospacing="1" w:after="100" w:afterAutospacing="1" w:line="240" w:lineRule="auto"/>
              <w:rPr>
                <w:szCs w:val="20"/>
              </w:rPr>
            </w:pPr>
            <w:r w:rsidRPr="00AD6567">
              <w:rPr>
                <w:szCs w:val="20"/>
              </w:rPr>
              <w:t>Monitoring confirms no pupil is excluded from opportunities due to financial, social, or other barriers.</w:t>
            </w:r>
          </w:p>
          <w:p w14:paraId="52218F22" w14:textId="0B445F5F" w:rsidR="00AD6567" w:rsidRPr="00AD6567" w:rsidRDefault="00AD6567" w:rsidP="00AD6567">
            <w:pPr>
              <w:pStyle w:val="NormalWeb"/>
              <w:numPr>
                <w:ilvl w:val="0"/>
                <w:numId w:val="32"/>
              </w:numPr>
              <w:rPr>
                <w:rFonts w:ascii="Arial" w:hAnsi="Arial"/>
                <w:color w:val="0D0D0D"/>
                <w:szCs w:val="20"/>
              </w:rPr>
            </w:pPr>
            <w:r w:rsidRPr="00AD6567">
              <w:rPr>
                <w:rFonts w:ascii="Arial" w:hAnsi="Arial"/>
                <w:color w:val="0D0D0D"/>
                <w:szCs w:val="20"/>
              </w:rPr>
              <w:t>Pupils demonstrate knowledge, respect, and appreciation for different cultures, backgrounds, and viewpoints.</w:t>
            </w:r>
          </w:p>
          <w:p w14:paraId="3119E2B7" w14:textId="590B81E6" w:rsidR="00AD6567" w:rsidRPr="00AD6567" w:rsidRDefault="00AD6567" w:rsidP="00AD6567">
            <w:pPr>
              <w:pStyle w:val="NormalWeb"/>
              <w:numPr>
                <w:ilvl w:val="0"/>
                <w:numId w:val="32"/>
              </w:numPr>
              <w:rPr>
                <w:rFonts w:ascii="Arial" w:hAnsi="Arial"/>
                <w:color w:val="0D0D0D"/>
                <w:szCs w:val="20"/>
              </w:rPr>
            </w:pPr>
            <w:r w:rsidRPr="00AD6567">
              <w:rPr>
                <w:rFonts w:ascii="Arial" w:hAnsi="Arial"/>
                <w:color w:val="0D0D0D"/>
                <w:szCs w:val="20"/>
              </w:rPr>
              <w:t>Pupil voice indicates increased confidence, understanding, and interest in cultural, ethical, and global topics.</w:t>
            </w:r>
          </w:p>
          <w:p w14:paraId="491B427F" w14:textId="29832BD9" w:rsidR="00AD6567" w:rsidRPr="00AD6567" w:rsidRDefault="00AD6567" w:rsidP="00AD6567">
            <w:pPr>
              <w:pStyle w:val="NormalWeb"/>
              <w:numPr>
                <w:ilvl w:val="0"/>
                <w:numId w:val="32"/>
              </w:numPr>
              <w:rPr>
                <w:rFonts w:ascii="Arial" w:hAnsi="Arial"/>
                <w:color w:val="0D0D0D"/>
                <w:szCs w:val="20"/>
              </w:rPr>
            </w:pPr>
            <w:r w:rsidRPr="00AD6567">
              <w:rPr>
                <w:rFonts w:ascii="Arial" w:hAnsi="Arial"/>
                <w:color w:val="0D0D0D"/>
                <w:szCs w:val="20"/>
              </w:rPr>
              <w:t>Pupils can articulate key concepts related to diversity, respect, and citizenship in discussion and written tasks.</w:t>
            </w:r>
          </w:p>
          <w:p w14:paraId="479A85DA" w14:textId="2835EEC3" w:rsidR="00AD6567" w:rsidRPr="00AD6567" w:rsidRDefault="00AD6567" w:rsidP="00AD6567">
            <w:pPr>
              <w:pStyle w:val="NormalWeb"/>
              <w:numPr>
                <w:ilvl w:val="0"/>
                <w:numId w:val="32"/>
              </w:numPr>
              <w:rPr>
                <w:rFonts w:ascii="Arial" w:hAnsi="Arial"/>
                <w:color w:val="0D0D0D"/>
                <w:szCs w:val="20"/>
              </w:rPr>
            </w:pPr>
            <w:r w:rsidRPr="00AD6567">
              <w:rPr>
                <w:rFonts w:ascii="Arial" w:hAnsi="Arial"/>
                <w:color w:val="0D0D0D"/>
                <w:szCs w:val="20"/>
              </w:rPr>
              <w:t>Observations and school records show pupils apply learning from enrichment opportunities to their daily behaviour and interactions.</w:t>
            </w:r>
          </w:p>
          <w:p w14:paraId="0E0DDAFC" w14:textId="38157AE5" w:rsidR="00AD6567" w:rsidRPr="00AD6567" w:rsidRDefault="00AD6567" w:rsidP="00AD6567">
            <w:pPr>
              <w:pStyle w:val="NormalWeb"/>
              <w:numPr>
                <w:ilvl w:val="0"/>
                <w:numId w:val="32"/>
              </w:numPr>
              <w:rPr>
                <w:rFonts w:ascii="Arial" w:hAnsi="Arial"/>
                <w:color w:val="0D0D0D"/>
                <w:szCs w:val="20"/>
              </w:rPr>
            </w:pPr>
            <w:r w:rsidRPr="00AD6567">
              <w:rPr>
                <w:rFonts w:ascii="Arial" w:hAnsi="Arial"/>
                <w:color w:val="0D0D0D"/>
                <w:szCs w:val="20"/>
              </w:rPr>
              <w:t>Pupils demonstrate curiosity, empathy, and responsible citizenship, positively contributing to school and community life.</w:t>
            </w:r>
          </w:p>
          <w:p w14:paraId="763D3031" w14:textId="77777777" w:rsidR="00AD6567" w:rsidRDefault="00AD6567" w:rsidP="00AD6567">
            <w:pPr>
              <w:pStyle w:val="NormalWeb"/>
            </w:pPr>
          </w:p>
          <w:p w14:paraId="0E11AACD" w14:textId="50D30C7C" w:rsidR="007B0233" w:rsidRDefault="007B0233">
            <w:pPr>
              <w:pStyle w:val="TableRowCentered"/>
              <w:jc w:val="left"/>
            </w:pPr>
          </w:p>
        </w:tc>
      </w:tr>
    </w:tbl>
    <w:p w14:paraId="2A7D5512" w14:textId="3CABEC34" w:rsidR="00E66558" w:rsidRDefault="009D71E8">
      <w:pPr>
        <w:pStyle w:val="Heading2"/>
      </w:pPr>
      <w:r>
        <w:lastRenderedPageBreak/>
        <w:t>Activity in this academic year</w:t>
      </w:r>
    </w:p>
    <w:p w14:paraId="2A7D5513" w14:textId="6F226A17" w:rsidR="00E66558" w:rsidRDefault="009D71E8">
      <w:pPr>
        <w:spacing w:after="480"/>
      </w:pPr>
      <w:r>
        <w:t xml:space="preserve">This details how we intend to spend our pupil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33A9792C" w:rsidR="00E66558" w:rsidRDefault="009D71E8">
      <w:r>
        <w:t>Budgeted cost: £</w:t>
      </w:r>
      <w:r w:rsidR="00110A3E">
        <w:t>16,493</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17BAEE9C" w:rsidR="00E66558" w:rsidRDefault="0024427C">
            <w:pPr>
              <w:pStyle w:val="TableRow"/>
              <w:rPr>
                <w:i/>
                <w:sz w:val="22"/>
              </w:rPr>
            </w:pPr>
            <w:r>
              <w:t>Purchase of additional high-quality curriculum resources</w:t>
            </w:r>
            <w:r w:rsidR="00A24968">
              <w:t xml:space="preserve">-Pathways to Write, </w:t>
            </w:r>
            <w:r w:rsidR="00A24968">
              <w:lastRenderedPageBreak/>
              <w:t>Pathways to Read</w:t>
            </w:r>
            <w:r w:rsidR="00625083">
              <w:t xml:space="preserve"> curriculums and associated texts.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14F0E" w14:textId="77777777" w:rsidR="00E66558" w:rsidRDefault="00E37588">
            <w:pPr>
              <w:pStyle w:val="TableRowCentered"/>
              <w:jc w:val="left"/>
            </w:pPr>
            <w:r>
              <w:lastRenderedPageBreak/>
              <w:t xml:space="preserve">Evidence shows that structured literacy programs can </w:t>
            </w:r>
            <w:r w:rsidRPr="00625083">
              <w:rPr>
                <w:rStyle w:val="Strong"/>
                <w:b w:val="0"/>
                <w:bCs w:val="0"/>
              </w:rPr>
              <w:t>close gaps for disadvantaged pupils</w:t>
            </w:r>
            <w:r>
              <w:t xml:space="preserve"> by providing scaffolded support, explicit teaching </w:t>
            </w:r>
            <w:r>
              <w:lastRenderedPageBreak/>
              <w:t xml:space="preserve">of vocabulary, and opportunities for repeated practice. Resources like </w:t>
            </w:r>
            <w:r>
              <w:rPr>
                <w:rStyle w:val="Emphasis"/>
              </w:rPr>
              <w:t>Pathways to Read</w:t>
            </w:r>
            <w:r>
              <w:t xml:space="preserve"> often include </w:t>
            </w:r>
            <w:r w:rsidRPr="00625083">
              <w:rPr>
                <w:rStyle w:val="Strong"/>
                <w:b w:val="0"/>
                <w:bCs w:val="0"/>
              </w:rPr>
              <w:t>differentiated support, visual scaffolds, and explicit decoding strategies</w:t>
            </w:r>
            <w:r w:rsidRPr="00625083">
              <w:rPr>
                <w:rStyle w:val="Strong"/>
              </w:rPr>
              <w:t>,</w:t>
            </w:r>
            <w:r>
              <w:t xml:space="preserve"> enabling pupils with SEND to access age-appropriate texts and make measurable progress.</w:t>
            </w:r>
          </w:p>
          <w:p w14:paraId="435B9C14" w14:textId="06C07858" w:rsidR="00E37588" w:rsidRPr="00625083" w:rsidRDefault="00E37588">
            <w:pPr>
              <w:pStyle w:val="TableRowCentered"/>
              <w:jc w:val="left"/>
              <w:rPr>
                <w:rStyle w:val="Strong"/>
                <w:b w:val="0"/>
                <w:bCs w:val="0"/>
              </w:rPr>
            </w:pPr>
            <w:r>
              <w:t xml:space="preserve">The EEF are currently funding a </w:t>
            </w:r>
            <w:r w:rsidRPr="00625083">
              <w:rPr>
                <w:rStyle w:val="Strong"/>
                <w:b w:val="0"/>
                <w:bCs w:val="0"/>
              </w:rPr>
              <w:t>pilot evaluation of Pathways Literacy to measure impact. EEF guidance on</w:t>
            </w:r>
            <w:r w:rsidRPr="00625083">
              <w:rPr>
                <w:rStyle w:val="Strong"/>
              </w:rPr>
              <w:t xml:space="preserve"> </w:t>
            </w:r>
            <w:r w:rsidRPr="00625083">
              <w:rPr>
                <w:rStyle w:val="Strong"/>
                <w:b w:val="0"/>
                <w:bCs w:val="0"/>
              </w:rPr>
              <w:t>Improving Literacy in Key Stage 1 and Key Stage 2</w:t>
            </w:r>
            <w:r w:rsidRPr="00625083">
              <w:rPr>
                <w:rStyle w:val="Strong"/>
              </w:rPr>
              <w:t xml:space="preserve"> </w:t>
            </w:r>
            <w:r w:rsidRPr="00625083">
              <w:rPr>
                <w:rStyle w:val="Strong"/>
                <w:b w:val="0"/>
                <w:bCs w:val="0"/>
              </w:rPr>
              <w:t xml:space="preserve">highlights key strategies included in Pathways to Read and Write </w:t>
            </w:r>
            <w:r w:rsidR="00625083" w:rsidRPr="00625083">
              <w:rPr>
                <w:rStyle w:val="Strong"/>
                <w:b w:val="0"/>
                <w:bCs w:val="0"/>
              </w:rPr>
              <w:t xml:space="preserve">have significant impact. </w:t>
            </w:r>
          </w:p>
          <w:p w14:paraId="2A7D551F" w14:textId="63D37C7C" w:rsidR="00E37588" w:rsidRDefault="00E37588">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0F5FCD6D" w:rsidR="00E66558" w:rsidRDefault="00317A8D">
            <w:pPr>
              <w:pStyle w:val="TableRowCentered"/>
              <w:jc w:val="left"/>
              <w:rPr>
                <w:sz w:val="22"/>
              </w:rPr>
            </w:pPr>
            <w:r>
              <w:rPr>
                <w:sz w:val="22"/>
              </w:rPr>
              <w:lastRenderedPageBreak/>
              <w:t>1,2,4,6</w:t>
            </w:r>
          </w:p>
        </w:tc>
      </w:tr>
      <w:tr w:rsidR="00625083" w14:paraId="560A067C" w14:textId="77777777" w:rsidTr="000C4610">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F9B79" w14:textId="77777777" w:rsidR="00625083" w:rsidRPr="00D050F1" w:rsidRDefault="00625083" w:rsidP="00625083">
            <w:pPr>
              <w:pStyle w:val="TableRow"/>
              <w:spacing w:after="240"/>
              <w:ind w:left="0" w:right="0"/>
              <w:rPr>
                <w:rFonts w:cs="Arial"/>
                <w:color w:val="auto"/>
                <w:shd w:val="clear" w:color="auto" w:fill="FFFFFF"/>
              </w:rPr>
            </w:pPr>
            <w:r w:rsidRPr="00D050F1">
              <w:rPr>
                <w:iCs/>
                <w:color w:val="auto"/>
                <w:lang w:val="en-US"/>
              </w:rPr>
              <w:t xml:space="preserve">Purchase of standardised diagnostic assessments. </w:t>
            </w:r>
          </w:p>
          <w:p w14:paraId="16E88B6F" w14:textId="4B8C31C5" w:rsidR="00625083" w:rsidRDefault="00625083" w:rsidP="00625083">
            <w:pPr>
              <w:pStyle w:val="TableRow"/>
            </w:pPr>
            <w:r w:rsidRPr="00D050F1">
              <w:rPr>
                <w:rFonts w:cs="Arial"/>
                <w:color w:val="auto"/>
                <w:shd w:val="clear" w:color="auto" w:fill="FFFFFF"/>
              </w:rPr>
              <w:t>Training for staff to ensure assessments are interpreted and administered correctly.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E30FA" w14:textId="77777777" w:rsidR="00625083" w:rsidRPr="00D050F1" w:rsidRDefault="00625083" w:rsidP="00625083">
            <w:pPr>
              <w:pStyle w:val="TableRowCentered"/>
              <w:ind w:left="0" w:right="0"/>
              <w:jc w:val="left"/>
              <w:rPr>
                <w:color w:val="auto"/>
                <w:szCs w:val="24"/>
              </w:rPr>
            </w:pPr>
            <w:r w:rsidRPr="00D050F1">
              <w:rPr>
                <w:color w:val="auto"/>
                <w:szCs w:val="24"/>
              </w:rPr>
              <w:t>When used effectively, diagnostic assessments can indicate areas for development for individual pupils, or across classes and year groups:</w:t>
            </w:r>
          </w:p>
          <w:p w14:paraId="7239CF8D" w14:textId="2489BB91" w:rsidR="00625083" w:rsidRDefault="0000336A" w:rsidP="00625083">
            <w:pPr>
              <w:pStyle w:val="TableRowCentered"/>
              <w:jc w:val="left"/>
            </w:pPr>
            <w:hyperlink r:id="rId8" w:history="1">
              <w:r w:rsidR="00625083" w:rsidRPr="00D050F1">
                <w:rPr>
                  <w:rStyle w:val="Hyperlink"/>
                  <w:iCs/>
                  <w:szCs w:val="28"/>
                  <w:lang w:val="en-US"/>
                </w:rPr>
                <w:t>Diagnostic assessment | EEF</w:t>
              </w:r>
            </w:hyperlink>
            <w:r w:rsidR="00625083" w:rsidRPr="00D050F1">
              <w:rPr>
                <w:rFonts w:cs="Arial"/>
                <w:color w:val="0070C0"/>
                <w:u w:val="single"/>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C5733" w14:textId="118382A9" w:rsidR="00625083" w:rsidRDefault="00C50302" w:rsidP="00625083">
            <w:pPr>
              <w:pStyle w:val="TableRowCentered"/>
              <w:jc w:val="left"/>
              <w:rPr>
                <w:sz w:val="22"/>
              </w:rPr>
            </w:pPr>
            <w:r>
              <w:rPr>
                <w:sz w:val="22"/>
              </w:rPr>
              <w:t>1,2,3</w:t>
            </w:r>
          </w:p>
        </w:tc>
      </w:tr>
      <w:tr w:rsidR="0024427C" w14:paraId="2F50335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2302A" w14:textId="03C51E34" w:rsidR="0024427C" w:rsidRDefault="0024427C">
            <w:pPr>
              <w:pStyle w:val="TableRow"/>
            </w:pPr>
            <w:r>
              <w:t>Embed a DfE validated Systematic Synthetic Phonics programme – Read Write Inc - to secure stronger phonics teaching for all pupils</w:t>
            </w:r>
            <w:r w:rsidR="00191C2C">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E7939" w14:textId="624FA18C" w:rsidR="0024427C" w:rsidRDefault="0024427C">
            <w:pPr>
              <w:pStyle w:val="TableRowCentered"/>
              <w:jc w:val="left"/>
            </w:pPr>
            <w:r>
              <w:t>Phonics approaches have a strong evidence base that indicates a positive impact on the accuracy of word reading (though not necessarily comprehension), particularly for disadvantaged pupils: Phonics | Toolkit Strand | Education Endowment Foundation | EEF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D61DC" w14:textId="651D295F" w:rsidR="0024427C" w:rsidRDefault="00C50302">
            <w:pPr>
              <w:pStyle w:val="TableRowCentered"/>
              <w:jc w:val="left"/>
              <w:rPr>
                <w:sz w:val="22"/>
              </w:rPr>
            </w:pPr>
            <w:r>
              <w:rPr>
                <w:sz w:val="22"/>
              </w:rPr>
              <w:t>1,2,4,6</w:t>
            </w:r>
          </w:p>
        </w:tc>
      </w:tr>
      <w:tr w:rsidR="00625083" w14:paraId="4CFE3377" w14:textId="77777777" w:rsidTr="00011407">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FBCD3" w14:textId="72CB943A" w:rsidR="00625083" w:rsidRDefault="00625083" w:rsidP="00625083">
            <w:pPr>
              <w:pStyle w:val="TableRow"/>
            </w:pPr>
            <w:r w:rsidRPr="00D050F1">
              <w:rPr>
                <w:iCs/>
                <w:color w:val="auto"/>
                <w:lang w:val="en-US"/>
              </w:rPr>
              <w:t xml:space="preserve">Embedding dialogic activities across the school curriculum. These can support pupils to articulate key ideas, consolidate understanding and extend vocabulary. </w:t>
            </w:r>
            <w:r w:rsidRPr="00D050F1">
              <w:rPr>
                <w:color w:val="auto"/>
              </w:rPr>
              <w:t xml:space="preserve">We will purchase resources and fund ongoing teacher training and release time.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25AAD" w14:textId="77777777" w:rsidR="00625083" w:rsidRPr="00D050F1" w:rsidRDefault="00625083" w:rsidP="00625083">
            <w:pPr>
              <w:autoSpaceDN/>
              <w:spacing w:before="60" w:after="60" w:line="240" w:lineRule="auto"/>
              <w:rPr>
                <w:rFonts w:cs="Arial"/>
                <w:color w:val="auto"/>
              </w:rPr>
            </w:pPr>
            <w:r w:rsidRPr="00D050F1">
              <w:rPr>
                <w:rFonts w:cs="Arial"/>
                <w:color w:val="auto"/>
              </w:rPr>
              <w:t>There is a strong evidence base that suggests oral language interventions, including dialogic activities such as high-quality classroom discussion, are inexpensive to implement with high impacts on reading:</w:t>
            </w:r>
          </w:p>
          <w:p w14:paraId="55FBB189" w14:textId="005D5E04" w:rsidR="00625083" w:rsidRDefault="0000336A" w:rsidP="00625083">
            <w:pPr>
              <w:pStyle w:val="TableRowCentered"/>
              <w:jc w:val="left"/>
            </w:pPr>
            <w:hyperlink r:id="rId9" w:history="1">
              <w:r w:rsidR="00625083" w:rsidRPr="00D050F1">
                <w:rPr>
                  <w:rStyle w:val="Hyperlink"/>
                  <w:iCs/>
                  <w:szCs w:val="28"/>
                  <w:lang w:val="en-US"/>
                </w:rPr>
                <w:t>Oral language interventions | Teaching and Learning Toolkit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6A82A" w14:textId="77E3C312" w:rsidR="00625083" w:rsidRDefault="00C50302" w:rsidP="00625083">
            <w:pPr>
              <w:pStyle w:val="TableRowCentered"/>
              <w:jc w:val="left"/>
              <w:rPr>
                <w:sz w:val="22"/>
              </w:rPr>
            </w:pPr>
            <w:r>
              <w:rPr>
                <w:sz w:val="22"/>
              </w:rPr>
              <w:t>1,2,3,4,5,6</w:t>
            </w:r>
          </w:p>
        </w:tc>
      </w:tr>
      <w:tr w:rsidR="004325B4" w14:paraId="41AB84A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991C8" w14:textId="3417C48D" w:rsidR="004325B4" w:rsidRDefault="00F04D58">
            <w:pPr>
              <w:pStyle w:val="TableRow"/>
            </w:pPr>
            <w:r>
              <w:lastRenderedPageBreak/>
              <w:t>Further develop our maths teaching and curriculum planning in line with DfE and EEF guidance. We will continue to fund teacher release time to further embed key elements of guidance in school and to access Maths Hub resources and CPD (including Sustaining Teaching for Mastery training).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A96B8" w14:textId="1F0AB46D" w:rsidR="004325B4" w:rsidRDefault="004325B4">
            <w:pPr>
              <w:pStyle w:val="TableRowCentered"/>
              <w:jc w:val="left"/>
            </w:pPr>
            <w:r>
              <w:t xml:space="preserve">The DfE non-statutory guidance has been produced in conjunction with the National Centre for Excellence in the Teaching of Mathematics, drawing on evidence-based approaches: Maths_guidance_KS_1_and_2.pdf (publishing.service.gov.uk) The EEF guidance is based on a range of the best available evidence: Improving Mathematics in Key Stages 2 and </w:t>
            </w:r>
            <w:r w:rsidR="00625083">
              <w:t>3</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514CB" w14:textId="526D7047" w:rsidR="004325B4" w:rsidRDefault="00C50302">
            <w:pPr>
              <w:pStyle w:val="TableRowCentered"/>
              <w:jc w:val="left"/>
              <w:rPr>
                <w:sz w:val="22"/>
              </w:rPr>
            </w:pPr>
            <w:r>
              <w:rPr>
                <w:sz w:val="22"/>
              </w:rPr>
              <w:t>3,4</w:t>
            </w:r>
          </w:p>
        </w:tc>
      </w:tr>
      <w:tr w:rsidR="00C90752" w14:paraId="2DE2DC4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F5AB5" w14:textId="7B72EB8A" w:rsidR="00C90752" w:rsidRDefault="00C90752" w:rsidP="00C90752">
            <w:pPr>
              <w:pStyle w:val="TableRow"/>
            </w:pPr>
            <w:r w:rsidRPr="00F94789">
              <w:t>Embed, monitor, and develop a shared approach to teaching and learning across the school through ongoing CPD, intensive support in place for all staff.</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B316" w14:textId="02C307A5" w:rsidR="00C90752" w:rsidRDefault="00C90752" w:rsidP="00C90752">
            <w:pPr>
              <w:pStyle w:val="TableRowCentered"/>
              <w:jc w:val="left"/>
            </w:pPr>
            <w:r w:rsidRPr="00F94789">
              <w:t>The EEF state that ‘good teaching is the most important lever schools have to improve outcomes for disadvantaged pupils’. All staff are supported to keep improving and is this is the priority for Pupil Premium spending.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E2AF5" w14:textId="41FBF6DD" w:rsidR="00C90752" w:rsidRDefault="00C50302" w:rsidP="00C90752">
            <w:pPr>
              <w:pStyle w:val="TableRowCentered"/>
              <w:jc w:val="left"/>
              <w:rPr>
                <w:sz w:val="22"/>
              </w:rPr>
            </w:pPr>
            <w:r>
              <w:rPr>
                <w:sz w:val="22"/>
              </w:rPr>
              <w:t>1,2,3,4,5,6</w:t>
            </w:r>
          </w:p>
        </w:tc>
      </w:tr>
      <w:tr w:rsidR="00625083" w14:paraId="3F1EED5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DE14" w14:textId="4F85F2EC" w:rsidR="00625083" w:rsidRPr="00F94789" w:rsidRDefault="00625083" w:rsidP="00625083">
            <w:pPr>
              <w:pStyle w:val="TableRow"/>
            </w:pPr>
            <w:r w:rsidRPr="00194DAF">
              <w:t>Improve the quality of social and emotional (SEL) learning.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F5D9D" w14:textId="77777777" w:rsidR="00625083" w:rsidRPr="00D050F1" w:rsidRDefault="00625083" w:rsidP="00625083">
            <w:pPr>
              <w:pStyle w:val="TableRowCentered"/>
              <w:ind w:left="0" w:right="0"/>
              <w:jc w:val="left"/>
              <w:rPr>
                <w:rFonts w:cs="Arial"/>
                <w:color w:val="auto"/>
                <w:szCs w:val="24"/>
              </w:rPr>
            </w:pPr>
            <w:r w:rsidRPr="00D050F1">
              <w:rPr>
                <w:rFonts w:cs="Arial"/>
                <w:color w:val="auto"/>
                <w:szCs w:val="24"/>
              </w:rPr>
              <w:t>There is extensive evidence associating childhood social and emotional skills with improved outcomes at school and in later life (e.g., improved academic performance, attitudes, behaviour and relationships with peers):</w:t>
            </w:r>
          </w:p>
          <w:p w14:paraId="7B607343" w14:textId="71272CF2" w:rsidR="00625083" w:rsidRPr="00F94789" w:rsidRDefault="0000336A" w:rsidP="00625083">
            <w:pPr>
              <w:pStyle w:val="TableRowCentered"/>
              <w:jc w:val="left"/>
            </w:pPr>
            <w:hyperlink r:id="rId10" w:history="1">
              <w:r w:rsidR="00625083" w:rsidRPr="0005639B">
                <w:rPr>
                  <w:rStyle w:val="Hyperlink"/>
                  <w:iCs/>
                  <w:szCs w:val="28"/>
                  <w:lang w:val="en-US"/>
                </w:rPr>
                <w:t>Improving_Social_and_Emotional_ Learning</w:t>
              </w:r>
            </w:hyperlink>
            <w:r w:rsidR="00625083" w:rsidRPr="0005639B">
              <w:rPr>
                <w:rStyle w:val="Hyperlink"/>
                <w:iCs/>
                <w:szCs w:val="28"/>
                <w:lang w:val="en-US"/>
              </w:rPr>
              <w:t xml:space="preserve"> in Primary Schools | EEF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2D4EA" w14:textId="7A3A445D" w:rsidR="00625083" w:rsidRDefault="00C50302" w:rsidP="00625083">
            <w:pPr>
              <w:pStyle w:val="TableRowCentered"/>
              <w:jc w:val="left"/>
              <w:rPr>
                <w:sz w:val="22"/>
              </w:rPr>
            </w:pPr>
            <w:r>
              <w:rPr>
                <w:sz w:val="22"/>
              </w:rPr>
              <w:t>5</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4F930D2A" w:rsidR="00E66558" w:rsidRDefault="009D71E8">
      <w:r>
        <w:t>Budgeted cost: £</w:t>
      </w:r>
      <w:r w:rsidR="009B0BCE">
        <w:t>14,997</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2D541F" w14:paraId="51BAFC1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86A47" w14:textId="77777777" w:rsidR="002D541F" w:rsidRDefault="002D541F">
            <w:pPr>
              <w:pStyle w:val="TableRow"/>
            </w:pPr>
            <w:r>
              <w:t xml:space="preserve">Review and monitor teaching assistant deployment and interventions – support high quality provision within the classroom and </w:t>
            </w:r>
            <w:r>
              <w:lastRenderedPageBreak/>
              <w:t>delivering targeted intervention</w:t>
            </w:r>
            <w:r w:rsidR="00FC5E79">
              <w:t>.</w:t>
            </w:r>
          </w:p>
          <w:p w14:paraId="29875FC0" w14:textId="766CAFB9" w:rsidR="00FC5E79" w:rsidRDefault="00FC5E79">
            <w:pPr>
              <w:pStyle w:val="TableRow"/>
            </w:pPr>
            <w:r>
              <w:t>Increase of TA hours in order to run interventions and support vulnerable children.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6F647" w14:textId="77777777" w:rsidR="002D541F" w:rsidRDefault="002D541F" w:rsidP="002D541F">
            <w:pPr>
              <w:pStyle w:val="TableRowCentered"/>
              <w:jc w:val="left"/>
            </w:pPr>
            <w:r>
              <w:lastRenderedPageBreak/>
              <w:t xml:space="preserve">EEF Making the Best Use of Teaching Assistants guidance report presents six recommendations, including adopting evidence-based interventions to support small group and one to one instruction. </w:t>
            </w:r>
          </w:p>
          <w:p w14:paraId="49712177" w14:textId="64D3EB1B" w:rsidR="002D541F" w:rsidRDefault="002D541F" w:rsidP="002D541F">
            <w:pPr>
              <w:pStyle w:val="TableRowCentered"/>
              <w:jc w:val="left"/>
            </w:pPr>
            <w:r>
              <w:lastRenderedPageBreak/>
              <w:t>EEF Teaching and Learning Toolkit strand on teaching assistant interventions.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DAE78" w14:textId="2FC1D40B" w:rsidR="002D541F" w:rsidRDefault="00C50302">
            <w:pPr>
              <w:pStyle w:val="TableRowCentered"/>
              <w:jc w:val="left"/>
              <w:rPr>
                <w:sz w:val="22"/>
              </w:rPr>
            </w:pPr>
            <w:r>
              <w:rPr>
                <w:sz w:val="22"/>
              </w:rPr>
              <w:lastRenderedPageBreak/>
              <w:t>1,2,3,4,5,6</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86DA1" w14:textId="77777777" w:rsidR="004325B4" w:rsidRDefault="004325B4">
            <w:pPr>
              <w:pStyle w:val="TableRow"/>
            </w:pPr>
            <w:r>
              <w:t xml:space="preserve">Reading, Writing and Maths (including multiplication facts) interventions; </w:t>
            </w:r>
          </w:p>
          <w:p w14:paraId="4DF0EC19" w14:textId="77777777" w:rsidR="004325B4" w:rsidRDefault="004325B4">
            <w:pPr>
              <w:pStyle w:val="TableRow"/>
            </w:pPr>
            <w:r>
              <w:t xml:space="preserve">• Pre/post teach </w:t>
            </w:r>
          </w:p>
          <w:p w14:paraId="2A7D5529" w14:textId="641E4337" w:rsidR="00E66558" w:rsidRDefault="004325B4" w:rsidP="004325B4">
            <w:pPr>
              <w:pStyle w:val="TableRow"/>
            </w:pPr>
            <w:r>
              <w:t>• Same day specific skill-based intervention offered to small groups, focussing on disadvantaged students where support is required for them to fully access the curriculum.</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47DDC" w14:textId="77777777" w:rsidR="00E66558" w:rsidRDefault="004325B4">
            <w:pPr>
              <w:pStyle w:val="TableRowCentered"/>
              <w:jc w:val="left"/>
            </w:pPr>
            <w:r>
              <w:t>Evidence shows that ‘small group tuition is effective and, as a rule of thumb, the smaller the group the better’ (EEF).</w:t>
            </w:r>
          </w:p>
          <w:p w14:paraId="0B90D6F8" w14:textId="77777777" w:rsidR="004325B4" w:rsidRDefault="004325B4">
            <w:pPr>
              <w:pStyle w:val="TableRowCentered"/>
              <w:jc w:val="left"/>
            </w:pPr>
          </w:p>
          <w:p w14:paraId="0598A7A2" w14:textId="53E0A2DE" w:rsidR="004325B4" w:rsidRDefault="004325B4">
            <w:pPr>
              <w:pStyle w:val="TableRowCentered"/>
              <w:jc w:val="left"/>
            </w:pPr>
            <w:r>
              <w:t>Establish small group interventions for disadvantaged pupils falling behind age-related expectations. SENDCo to support and monitor the implementation of interventions, identifying training staff where needed.</w:t>
            </w:r>
          </w:p>
          <w:p w14:paraId="2A7D552A" w14:textId="6E4C7104" w:rsidR="004325B4" w:rsidRDefault="004325B4">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2F69B6DB" w:rsidR="00E66558" w:rsidRDefault="00C50302">
            <w:pPr>
              <w:pStyle w:val="TableRowCentered"/>
              <w:jc w:val="left"/>
              <w:rPr>
                <w:sz w:val="22"/>
              </w:rPr>
            </w:pPr>
            <w:r>
              <w:rPr>
                <w:sz w:val="22"/>
              </w:rPr>
              <w:t>1,2,3,4,5,6</w:t>
            </w:r>
          </w:p>
        </w:tc>
      </w:tr>
      <w:tr w:rsidR="00625083" w14:paraId="39911C90" w14:textId="77777777" w:rsidTr="00865417">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AE563E" w14:textId="4AF5E950" w:rsidR="00625083" w:rsidRDefault="00625083" w:rsidP="00625083">
            <w:pPr>
              <w:pStyle w:val="TableRow"/>
            </w:pPr>
            <w:r w:rsidRPr="00D050F1">
              <w:rPr>
                <w:rFonts w:cs="Arial"/>
                <w:iCs/>
                <w:color w:val="auto"/>
                <w:lang w:val="en-US"/>
              </w:rPr>
              <w:t>Purchase of a programme to improve listening, narrative and vocabulary skills for disadvantaged pupils who have relatively weak spoken language skills.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4736F" w14:textId="77777777" w:rsidR="00625083" w:rsidRPr="00D050F1" w:rsidRDefault="00625083" w:rsidP="00625083">
            <w:pPr>
              <w:pStyle w:val="TableRowCentered"/>
              <w:ind w:left="0" w:right="0"/>
              <w:jc w:val="left"/>
              <w:rPr>
                <w:rFonts w:cs="Arial"/>
                <w:color w:val="auto"/>
                <w:szCs w:val="24"/>
              </w:rPr>
            </w:pPr>
            <w:r w:rsidRPr="00D050F1">
              <w:rPr>
                <w:rFonts w:cs="Arial"/>
                <w:color w:val="auto"/>
                <w:szCs w:val="24"/>
              </w:rPr>
              <w:t>Oral language interventions can have a positive impact on pupils’ language skills. Approaches that focus on speaking, listening and a combination of the two show positive impacts on attainment:</w:t>
            </w:r>
          </w:p>
          <w:p w14:paraId="7B2F6DC0" w14:textId="60CD4D34" w:rsidR="00625083" w:rsidRDefault="0000336A" w:rsidP="00625083">
            <w:pPr>
              <w:pStyle w:val="TableRowCentered"/>
              <w:jc w:val="left"/>
            </w:pPr>
            <w:hyperlink r:id="rId11" w:history="1">
              <w:r w:rsidR="00625083" w:rsidRPr="0005639B">
                <w:rPr>
                  <w:rStyle w:val="Hyperlink"/>
                  <w:iCs/>
                  <w:szCs w:val="28"/>
                  <w:lang w:val="en-US"/>
                </w:rPr>
                <w:t>Oral language interventions | Teaching and Learning Toolkit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25343" w14:textId="5DC0CA67" w:rsidR="00625083" w:rsidRDefault="00E65A94" w:rsidP="00625083">
            <w:pPr>
              <w:pStyle w:val="TableRowCentered"/>
              <w:jc w:val="left"/>
              <w:rPr>
                <w:sz w:val="22"/>
              </w:rPr>
            </w:pPr>
            <w:r>
              <w:rPr>
                <w:sz w:val="22"/>
              </w:rPr>
              <w:t>2,4</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3C9DBB47" w:rsidR="00E66558" w:rsidRDefault="009D71E8">
      <w:pPr>
        <w:spacing w:before="240" w:after="120"/>
      </w:pPr>
      <w:r>
        <w:t>Budgeted cost: £</w:t>
      </w:r>
      <w:r w:rsidR="009B0BCE">
        <w:t>12,315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75E22BD8" w:rsidR="00E66558" w:rsidRDefault="00191C2C">
            <w:pPr>
              <w:pStyle w:val="TableRow"/>
            </w:pPr>
            <w:r>
              <w:t>SLT and Parent Support Advisor t</w:t>
            </w:r>
            <w:r w:rsidR="00F04D58">
              <w:t xml:space="preserve">o continue to monitor and attendance for all pupils (including PP) </w:t>
            </w:r>
            <w:r w:rsidR="00F04D58" w:rsidRPr="00F04D58">
              <w:t xml:space="preserve">and any vulnerable pupils at risk of </w:t>
            </w:r>
            <w:r w:rsidR="00F04D58" w:rsidRPr="00F04D58">
              <w:lastRenderedPageBreak/>
              <w:t>becoming persistent absentees</w:t>
            </w:r>
            <w: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5BF6E" w14:textId="77777777" w:rsidR="00F04D58" w:rsidRDefault="00F04D58">
            <w:pPr>
              <w:pStyle w:val="TableRowCentered"/>
              <w:jc w:val="left"/>
            </w:pPr>
            <w:r>
              <w:lastRenderedPageBreak/>
              <w:t xml:space="preserve">EEF </w:t>
            </w:r>
          </w:p>
          <w:p w14:paraId="1DAFD0C0" w14:textId="77777777" w:rsidR="002D541F" w:rsidRDefault="00F04D58">
            <w:pPr>
              <w:pStyle w:val="TableRowCentered"/>
              <w:jc w:val="left"/>
            </w:pPr>
            <w:r>
              <w:t xml:space="preserve">Poor attendance at school is linked to poor academic attainment across all stages. Some parental communication approaches and targeted parental engagement interventions show promise in supporting pupil attendance. </w:t>
            </w:r>
          </w:p>
          <w:p w14:paraId="2A7D5539" w14:textId="72E6ED6D" w:rsidR="00E66558" w:rsidRDefault="002D541F">
            <w:pPr>
              <w:pStyle w:val="TableRowCentered"/>
              <w:jc w:val="left"/>
              <w:rPr>
                <w:sz w:val="22"/>
              </w:rPr>
            </w:pPr>
            <w:r>
              <w:lastRenderedPageBreak/>
              <w:t xml:space="preserve">EEF </w:t>
            </w:r>
            <w:r w:rsidR="00F04D58">
              <w:t>Working with Parents to Support Children’s Learning guidance report includes advice around how to support attendance.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4821AC28" w:rsidR="00E66558" w:rsidRDefault="00E65A94">
            <w:pPr>
              <w:pStyle w:val="TableRowCentered"/>
              <w:jc w:val="left"/>
              <w:rPr>
                <w:sz w:val="22"/>
              </w:rPr>
            </w:pPr>
            <w:r>
              <w:rPr>
                <w:sz w:val="22"/>
              </w:rPr>
              <w:lastRenderedPageBreak/>
              <w:t>5</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7BFDD675" w:rsidR="00E66558" w:rsidRPr="00F04D58" w:rsidRDefault="00F04D58">
            <w:pPr>
              <w:pStyle w:val="TableRow"/>
            </w:pPr>
            <w:r>
              <w:t>Engage with Compass Be to improve mental health and well being of the whole school community.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67C394CB" w:rsidR="00E66558" w:rsidRDefault="00F04D58">
            <w:pPr>
              <w:pStyle w:val="TableRowCentered"/>
              <w:jc w:val="left"/>
              <w:rPr>
                <w:sz w:val="22"/>
              </w:rPr>
            </w:pPr>
            <w:r>
              <w:t>EEF (+4) Social and Emotional Learning – interventions which target social and emotional learning seek to improve pupil’s interaction with others and self management of emotions, rather than focusing directly on the academic or cognitive elements of learning. SEL interventions might focus on the ways in which students work with (and alongside) their peers, teachers, family and community. These include : specialised programmes which are targeted at students with particular social or emotional needs.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4ED65319" w:rsidR="00E66558" w:rsidRDefault="00E65A94">
            <w:pPr>
              <w:pStyle w:val="TableRowCentered"/>
              <w:jc w:val="left"/>
              <w:rPr>
                <w:sz w:val="22"/>
              </w:rPr>
            </w:pPr>
            <w:r>
              <w:rPr>
                <w:sz w:val="22"/>
              </w:rPr>
              <w:t>5</w:t>
            </w:r>
          </w:p>
        </w:tc>
      </w:tr>
      <w:tr w:rsidR="00396C38" w14:paraId="095ACE4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CA99B" w14:textId="77777777" w:rsidR="00396C38" w:rsidRDefault="00396C38">
            <w:pPr>
              <w:pStyle w:val="TableRow"/>
            </w:pPr>
            <w:r>
              <w:t xml:space="preserve">Increase awareness of accountability amongst all staff to increase the life experiences of our disadvantaged children. </w:t>
            </w:r>
          </w:p>
          <w:p w14:paraId="520675DB" w14:textId="218054EA" w:rsidR="00396C38" w:rsidRDefault="00396C38">
            <w:pPr>
              <w:pStyle w:val="TableRow"/>
            </w:pPr>
            <w:r>
              <w:t>Children who are vulnerable will be discussed regularly during pupil progress meetings and a programme or targeted interventions will be reviewed.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AFE7" w14:textId="32611CB3" w:rsidR="00396C38" w:rsidRDefault="00396C38">
            <w:pPr>
              <w:pStyle w:val="TableRowCentered"/>
              <w:jc w:val="left"/>
            </w:pPr>
            <w:r>
              <w:t>Vulnerable pupils are targeted with a package of support alongside high quality first teaching.</w:t>
            </w:r>
          </w:p>
          <w:p w14:paraId="5296C4B6" w14:textId="7D05511B" w:rsidR="00396C38" w:rsidRDefault="00396C38">
            <w:pPr>
              <w:pStyle w:val="TableRowCentered"/>
              <w:jc w:val="left"/>
            </w:pPr>
          </w:p>
          <w:p w14:paraId="50057497" w14:textId="319C20A1" w:rsidR="00396C38" w:rsidRDefault="00396C38">
            <w:pPr>
              <w:pStyle w:val="TableRowCentered"/>
              <w:jc w:val="left"/>
            </w:pPr>
            <w:r>
              <w:t>A ‘day in the life’ case studies utilised to review provision for PP children.</w:t>
            </w:r>
          </w:p>
          <w:p w14:paraId="5CE421E8" w14:textId="74335ED9" w:rsidR="00396C38" w:rsidRDefault="00396C38">
            <w:pPr>
              <w:pStyle w:val="TableRowCentered"/>
              <w:jc w:val="left"/>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5A8D5" w14:textId="1882C603" w:rsidR="00396C38" w:rsidRDefault="00E65A94">
            <w:pPr>
              <w:pStyle w:val="TableRowCentered"/>
              <w:jc w:val="left"/>
              <w:rPr>
                <w:sz w:val="22"/>
              </w:rPr>
            </w:pPr>
            <w:r>
              <w:rPr>
                <w:sz w:val="22"/>
              </w:rPr>
              <w:t>5,6</w:t>
            </w:r>
          </w:p>
        </w:tc>
      </w:tr>
      <w:tr w:rsidR="00396C38" w14:paraId="29E819F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4EEA2" w14:textId="53B876C2" w:rsidR="00396C38" w:rsidRDefault="00396C38">
            <w:pPr>
              <w:pStyle w:val="TableRow"/>
            </w:pPr>
            <w:r>
              <w:t>Extracurricular activities, including sports, outdoor activities, and arts and culture - for example, music lessons and school trips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88797" w14:textId="77777777" w:rsidR="00224E79" w:rsidRDefault="00396C38">
            <w:pPr>
              <w:pStyle w:val="TableRowCentered"/>
              <w:jc w:val="left"/>
            </w:pPr>
            <w:r>
              <w:t xml:space="preserve">Extracurricular activities are an important part of education in their own right. These approaches may increase engagement in learning but it is important to consider how increased engagement will be translated into improved outcomes. </w:t>
            </w:r>
          </w:p>
          <w:p w14:paraId="3FE3932B" w14:textId="2FD9907B" w:rsidR="00396C38" w:rsidRDefault="00224E79">
            <w:pPr>
              <w:pStyle w:val="TableRowCentered"/>
              <w:jc w:val="left"/>
            </w:pPr>
            <w:r>
              <w:t xml:space="preserve">The EEF </w:t>
            </w:r>
            <w:r w:rsidR="00396C38">
              <w:t>Teaching and Learning Toolkit strands on arts participation and physical activity</w:t>
            </w:r>
            <w:r>
              <w: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1BC0E" w14:textId="4E8F1CF0" w:rsidR="00396C38" w:rsidRDefault="00E65A94">
            <w:pPr>
              <w:pStyle w:val="TableRowCentered"/>
              <w:jc w:val="left"/>
              <w:rPr>
                <w:sz w:val="22"/>
              </w:rPr>
            </w:pPr>
            <w:r>
              <w:rPr>
                <w:sz w:val="22"/>
              </w:rPr>
              <w:t>5,6</w:t>
            </w:r>
          </w:p>
        </w:tc>
      </w:tr>
      <w:tr w:rsidR="00625083" w14:paraId="6F6BF8E8" w14:textId="77777777" w:rsidTr="0030181F">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7CB98" w14:textId="77777777" w:rsidR="00625083" w:rsidRPr="00D050F1" w:rsidRDefault="00625083" w:rsidP="00625083">
            <w:pPr>
              <w:autoSpaceDN/>
              <w:spacing w:before="60" w:after="60" w:line="240" w:lineRule="auto"/>
              <w:rPr>
                <w:iCs/>
                <w:color w:val="auto"/>
                <w:szCs w:val="28"/>
                <w:lang w:val="en-US"/>
              </w:rPr>
            </w:pPr>
            <w:r w:rsidRPr="00D050F1">
              <w:rPr>
                <w:iCs/>
                <w:color w:val="auto"/>
                <w:szCs w:val="28"/>
                <w:lang w:val="en-US"/>
              </w:rPr>
              <w:t>Contingency fund for acute issues.</w:t>
            </w:r>
          </w:p>
          <w:p w14:paraId="21DA81C8" w14:textId="77777777" w:rsidR="00625083" w:rsidRDefault="00625083" w:rsidP="00625083">
            <w:pPr>
              <w:pStyle w:val="TableRow"/>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19C16" w14:textId="77BA460E" w:rsidR="00625083" w:rsidRDefault="00625083" w:rsidP="00625083">
            <w:pPr>
              <w:pStyle w:val="TableRowCentered"/>
              <w:jc w:val="left"/>
            </w:pPr>
            <w:r w:rsidRPr="00D050F1">
              <w:rPr>
                <w:color w:val="auto"/>
                <w:szCs w:val="22"/>
              </w:rPr>
              <w:t xml:space="preserve">Based on our experiences and those of similar schools to ours, we have identified a need to set a small amount of funding aside to respond </w:t>
            </w:r>
            <w:r w:rsidRPr="00D050F1">
              <w:rPr>
                <w:color w:val="auto"/>
                <w:szCs w:val="22"/>
              </w:rPr>
              <w:lastRenderedPageBreak/>
              <w:t>quickly to needs that have not yet been identified.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DEE4D" w14:textId="6A993E4A" w:rsidR="00625083" w:rsidRDefault="00E65A94" w:rsidP="00625083">
            <w:pPr>
              <w:pStyle w:val="TableRowCentered"/>
              <w:jc w:val="left"/>
              <w:rPr>
                <w:sz w:val="22"/>
              </w:rPr>
            </w:pPr>
            <w:r>
              <w:rPr>
                <w:sz w:val="22"/>
              </w:rPr>
              <w:lastRenderedPageBreak/>
              <w:t>All</w:t>
            </w:r>
          </w:p>
        </w:tc>
      </w:tr>
    </w:tbl>
    <w:p w14:paraId="2A7D5540" w14:textId="77777777" w:rsidR="00E66558" w:rsidRDefault="00E66558">
      <w:pPr>
        <w:spacing w:before="240" w:after="0"/>
        <w:rPr>
          <w:b/>
          <w:bCs/>
          <w:color w:val="104F75"/>
          <w:sz w:val="28"/>
          <w:szCs w:val="28"/>
        </w:rPr>
      </w:pPr>
    </w:p>
    <w:p w14:paraId="2A7D5541" w14:textId="76083CEF" w:rsidR="00E66558" w:rsidRDefault="009D71E8" w:rsidP="00120AB1">
      <w:r>
        <w:rPr>
          <w:b/>
          <w:bCs/>
          <w:color w:val="104F75"/>
          <w:sz w:val="28"/>
          <w:szCs w:val="28"/>
        </w:rPr>
        <w:t xml:space="preserve">Total budgeted cost: £ </w:t>
      </w:r>
      <w:r w:rsidR="00316997">
        <w:rPr>
          <w:b/>
          <w:bCs/>
          <w:color w:val="104F75"/>
          <w:sz w:val="28"/>
          <w:szCs w:val="28"/>
        </w:rPr>
        <w:t>43,085</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E099C2" w14:textId="00EA601D" w:rsidR="00EA59E4" w:rsidRDefault="00F01407" w:rsidP="00242093">
            <w:pPr>
              <w:spacing w:before="60"/>
            </w:pPr>
            <w:r>
              <w:t>This details the impact that our pupil premium activity had on pupils in the 202</w:t>
            </w:r>
            <w:r w:rsidR="00025AEF">
              <w:t>4</w:t>
            </w:r>
            <w:r>
              <w:t xml:space="preserve"> / 2</w:t>
            </w:r>
            <w:r w:rsidR="00025AEF">
              <w:t xml:space="preserve">5 </w:t>
            </w:r>
            <w:r>
              <w:t xml:space="preserve">academic year: </w:t>
            </w:r>
          </w:p>
          <w:p w14:paraId="2BF4BB35" w14:textId="0B851F90" w:rsidR="00EA59E4" w:rsidRDefault="00F01407" w:rsidP="00242093">
            <w:pPr>
              <w:spacing w:before="60"/>
            </w:pPr>
            <w:r>
              <w:t>• Internal and external assessments during 202</w:t>
            </w:r>
            <w:r w:rsidR="00025AEF">
              <w:t>4</w:t>
            </w:r>
            <w:r>
              <w:t>/2</w:t>
            </w:r>
            <w:r w:rsidR="00025AEF">
              <w:t>5</w:t>
            </w:r>
            <w:r>
              <w:t xml:space="preserve"> suggested that the performance of disadvantaged pupils was lower than non-disadvantaged pupils in key areas of the curriculum.</w:t>
            </w:r>
          </w:p>
          <w:p w14:paraId="5C6594ED" w14:textId="38A3334E" w:rsidR="00110A3E" w:rsidRDefault="00F01407" w:rsidP="00242093">
            <w:pPr>
              <w:spacing w:before="60"/>
            </w:pPr>
            <w:r>
              <w:t xml:space="preserve">• </w:t>
            </w:r>
            <w:r w:rsidR="002B4862">
              <w:t xml:space="preserve"> </w:t>
            </w:r>
            <w:r w:rsidR="0045569F">
              <w:t xml:space="preserve"> </w:t>
            </w:r>
            <w:r w:rsidR="00110A3E">
              <w:t xml:space="preserve">75% (3/4 children) of </w:t>
            </w:r>
            <w:r>
              <w:t>PP children passed Y1 phonics screening</w:t>
            </w:r>
            <w:r w:rsidR="00110A3E">
              <w:t xml:space="preserve"> with full marks. </w:t>
            </w:r>
          </w:p>
          <w:p w14:paraId="47EF5212" w14:textId="65D655CE" w:rsidR="002B4862" w:rsidRDefault="00F01407" w:rsidP="00242093">
            <w:pPr>
              <w:spacing w:before="60"/>
            </w:pPr>
            <w:r>
              <w:t>• In the MTC the groups who performed least well were SEND and disadvantaged pupils. This w</w:t>
            </w:r>
            <w:r w:rsidR="00EA59E4">
              <w:t>as</w:t>
            </w:r>
            <w:r>
              <w:t xml:space="preserve"> addressed in the academic year 202</w:t>
            </w:r>
            <w:r w:rsidR="00025AEF">
              <w:t>4</w:t>
            </w:r>
            <w:r>
              <w:t>/2</w:t>
            </w:r>
            <w:r w:rsidR="00025AEF">
              <w:t>5</w:t>
            </w:r>
            <w:r>
              <w:t xml:space="preserve"> with additional spend on staff CPD and targeted intervention</w:t>
            </w:r>
            <w:r w:rsidR="00EA59E4">
              <w:t xml:space="preserve"> in year. </w:t>
            </w:r>
          </w:p>
          <w:p w14:paraId="0639F3A5" w14:textId="2F95424D" w:rsidR="002B4862" w:rsidRDefault="0056302D" w:rsidP="00314D11">
            <w:pPr>
              <w:pStyle w:val="ListParagraph"/>
              <w:numPr>
                <w:ilvl w:val="0"/>
                <w:numId w:val="21"/>
              </w:numPr>
              <w:spacing w:before="60"/>
            </w:pPr>
            <w:r>
              <w:t xml:space="preserve">50% (2/4 children) </w:t>
            </w:r>
            <w:r w:rsidR="002B4862">
              <w:t>of PP children scored full marks.</w:t>
            </w:r>
          </w:p>
          <w:p w14:paraId="3925C762" w14:textId="0212A257" w:rsidR="00EA59E4" w:rsidRDefault="0056302D" w:rsidP="00314D11">
            <w:pPr>
              <w:pStyle w:val="ListParagraph"/>
              <w:numPr>
                <w:ilvl w:val="0"/>
                <w:numId w:val="21"/>
              </w:numPr>
              <w:spacing w:before="60"/>
            </w:pPr>
            <w:r>
              <w:t>75% (¾ children) of</w:t>
            </w:r>
            <w:r w:rsidR="00EA59E4">
              <w:t xml:space="preserve"> PP children scored 2</w:t>
            </w:r>
            <w:r w:rsidR="002B4862">
              <w:t>0</w:t>
            </w:r>
            <w:r w:rsidR="00EA59E4">
              <w:t xml:space="preserve"> or more.</w:t>
            </w:r>
          </w:p>
          <w:p w14:paraId="639D84AA" w14:textId="578A6ADF" w:rsidR="00314D11" w:rsidRDefault="00314D11" w:rsidP="00314D11">
            <w:pPr>
              <w:spacing w:before="60"/>
            </w:pPr>
            <w:r>
              <w:t>KS1 assessments</w:t>
            </w:r>
          </w:p>
          <w:p w14:paraId="59F53706" w14:textId="291B7066" w:rsidR="0056302D" w:rsidRDefault="0056302D" w:rsidP="0056302D">
            <w:pPr>
              <w:pStyle w:val="ListParagraph"/>
              <w:numPr>
                <w:ilvl w:val="0"/>
                <w:numId w:val="20"/>
              </w:numPr>
              <w:spacing w:before="60"/>
            </w:pPr>
            <w:r>
              <w:t xml:space="preserve">KS1 Reading- </w:t>
            </w:r>
            <w:r w:rsidR="00E54257">
              <w:t>50</w:t>
            </w:r>
            <w:r w:rsidR="0014336D">
              <w:t xml:space="preserve">% </w:t>
            </w:r>
            <w:r w:rsidR="00E54257">
              <w:t xml:space="preserve">(1/2 children) </w:t>
            </w:r>
            <w:r>
              <w:t>of PP achieved ARE</w:t>
            </w:r>
          </w:p>
          <w:p w14:paraId="2F4CBE51" w14:textId="6C325385" w:rsidR="0056302D" w:rsidRDefault="0056302D" w:rsidP="0056302D">
            <w:pPr>
              <w:pStyle w:val="ListParagraph"/>
              <w:numPr>
                <w:ilvl w:val="0"/>
                <w:numId w:val="20"/>
              </w:numPr>
              <w:spacing w:before="60"/>
            </w:pPr>
            <w:r>
              <w:t xml:space="preserve">KS1 Writing- </w:t>
            </w:r>
            <w:r w:rsidR="0014336D">
              <w:t xml:space="preserve"> 0% </w:t>
            </w:r>
            <w:r>
              <w:t>of PP achieved ARE</w:t>
            </w:r>
          </w:p>
          <w:p w14:paraId="2E2DFACD" w14:textId="3864F5CB" w:rsidR="0056302D" w:rsidRDefault="0056302D" w:rsidP="0056302D">
            <w:pPr>
              <w:pStyle w:val="ListParagraph"/>
              <w:numPr>
                <w:ilvl w:val="0"/>
                <w:numId w:val="20"/>
              </w:numPr>
              <w:spacing w:before="60"/>
            </w:pPr>
            <w:r>
              <w:t xml:space="preserve">KS1 Maths- </w:t>
            </w:r>
            <w:r w:rsidR="0014336D">
              <w:t xml:space="preserve">50% (1/2 children) </w:t>
            </w:r>
            <w:r>
              <w:t>of PP achieved ARE</w:t>
            </w:r>
          </w:p>
          <w:p w14:paraId="34FB47FD" w14:textId="36C9AF72" w:rsidR="0056302D" w:rsidRDefault="0056302D" w:rsidP="0056302D">
            <w:pPr>
              <w:pStyle w:val="ListParagraph"/>
              <w:numPr>
                <w:ilvl w:val="0"/>
                <w:numId w:val="20"/>
              </w:numPr>
              <w:spacing w:before="60"/>
            </w:pPr>
            <w:r>
              <w:t xml:space="preserve">Combined- </w:t>
            </w:r>
            <w:r w:rsidR="0014336D">
              <w:t xml:space="preserve">0% </w:t>
            </w:r>
            <w:r>
              <w:t>of PP achieved ARE</w:t>
            </w:r>
          </w:p>
          <w:p w14:paraId="688B23F9" w14:textId="6B9C61D3" w:rsidR="00314D11" w:rsidRDefault="00314D11" w:rsidP="00314D11">
            <w:pPr>
              <w:spacing w:before="60"/>
            </w:pPr>
            <w:r>
              <w:t>KS2 assessments</w:t>
            </w:r>
          </w:p>
          <w:p w14:paraId="51AA95F1" w14:textId="2CF08917" w:rsidR="00025AEF" w:rsidRDefault="00025AEF" w:rsidP="00025AEF">
            <w:pPr>
              <w:pStyle w:val="ListParagraph"/>
              <w:numPr>
                <w:ilvl w:val="0"/>
                <w:numId w:val="20"/>
              </w:numPr>
              <w:spacing w:before="60"/>
            </w:pPr>
            <w:r>
              <w:t xml:space="preserve">KS2 Reading- 57% (4/7 children) </w:t>
            </w:r>
            <w:r w:rsidR="0056302D">
              <w:t xml:space="preserve">of </w:t>
            </w:r>
            <w:r>
              <w:t>PP achieved ARE</w:t>
            </w:r>
          </w:p>
          <w:p w14:paraId="18471ACA" w14:textId="357A7549" w:rsidR="00025AEF" w:rsidRDefault="00025AEF" w:rsidP="00025AEF">
            <w:pPr>
              <w:pStyle w:val="ListParagraph"/>
              <w:numPr>
                <w:ilvl w:val="0"/>
                <w:numId w:val="20"/>
              </w:numPr>
              <w:spacing w:before="60"/>
            </w:pPr>
            <w:r>
              <w:t xml:space="preserve">KS2 Writing- 29% (2/7 children) </w:t>
            </w:r>
            <w:r w:rsidR="0056302D">
              <w:t xml:space="preserve">of </w:t>
            </w:r>
            <w:r>
              <w:t>PP achieved ARE</w:t>
            </w:r>
          </w:p>
          <w:p w14:paraId="7ADB81DC" w14:textId="3E6D6308" w:rsidR="00025AEF" w:rsidRDefault="00025AEF" w:rsidP="00025AEF">
            <w:pPr>
              <w:pStyle w:val="ListParagraph"/>
              <w:numPr>
                <w:ilvl w:val="0"/>
                <w:numId w:val="20"/>
              </w:numPr>
              <w:spacing w:before="60"/>
            </w:pPr>
            <w:r>
              <w:t xml:space="preserve">KS2 Maths- 43% (3/7 children) </w:t>
            </w:r>
            <w:r w:rsidR="0056302D">
              <w:t xml:space="preserve">of </w:t>
            </w:r>
            <w:r>
              <w:t>PP achieved ARE</w:t>
            </w:r>
          </w:p>
          <w:p w14:paraId="5211C3E4" w14:textId="649F0549" w:rsidR="00025AEF" w:rsidRDefault="00025AEF" w:rsidP="00025AEF">
            <w:pPr>
              <w:pStyle w:val="ListParagraph"/>
              <w:numPr>
                <w:ilvl w:val="0"/>
                <w:numId w:val="20"/>
              </w:numPr>
              <w:spacing w:before="60"/>
            </w:pPr>
            <w:r>
              <w:t xml:space="preserve">Combined- 29% (2/7 children) </w:t>
            </w:r>
            <w:r w:rsidR="0056302D">
              <w:t xml:space="preserve">of </w:t>
            </w:r>
            <w:r>
              <w:t>PP achieved ARE</w:t>
            </w:r>
          </w:p>
          <w:p w14:paraId="439AA8C5" w14:textId="368F83D4" w:rsidR="00E54257" w:rsidRDefault="00E54257" w:rsidP="00E54257">
            <w:pPr>
              <w:spacing w:before="60"/>
            </w:pPr>
            <w:r>
              <w:t xml:space="preserve">In 2024/25, PP pupils demonstrated strong early outcomes, with 75% passing the Y1 phonics screening with full marks. Performance in the Multiplication Tables Check improved following additional staff CPD and targeted intervention, with 50% of PP pupils achieving full marks and 75% scoring 20 or more. KS1 outcomes were mixed, with 50% of PP pupils achieving ARE in Reading and Maths, but 0% achieving ARE in Writing or Combined, indicating an early writing gap. At KS2, attainment remains uneven, with moderate outcomes in Reading (57%) and Maths (43%), while Writing (29%) and Combined attainment (29%) continue to be key areas of concern. Overall, the data shows that targeted funding has had a positive impact on early reading and </w:t>
            </w:r>
            <w:r>
              <w:lastRenderedPageBreak/>
              <w:t>maths outcomes, but sustained focus on Writing and combined attainment is required to close gaps for PP pupils in later years.</w:t>
            </w:r>
          </w:p>
          <w:p w14:paraId="1FA07793" w14:textId="77777777" w:rsidR="00C578CA" w:rsidRDefault="00C578CA" w:rsidP="00E54257">
            <w:pPr>
              <w:pStyle w:val="ListParagraph"/>
              <w:numPr>
                <w:ilvl w:val="0"/>
                <w:numId w:val="0"/>
              </w:numPr>
              <w:spacing w:before="60"/>
              <w:ind w:left="720"/>
            </w:pPr>
          </w:p>
          <w:p w14:paraId="0A9408C7" w14:textId="58FDFCC1" w:rsidR="00EE1760" w:rsidRDefault="005372CD" w:rsidP="005372CD">
            <w:pPr>
              <w:spacing w:before="60"/>
            </w:pPr>
            <w:r>
              <w:t>Internal Data</w:t>
            </w:r>
            <w:r w:rsidR="00913800">
              <w:t>-</w:t>
            </w:r>
            <w:r w:rsidR="00EE1760">
              <w:t xml:space="preserve"> for non</w:t>
            </w:r>
            <w:r w:rsidR="0014336D">
              <w:t>-</w:t>
            </w:r>
            <w:r w:rsidR="00EE1760">
              <w:t>statutory year groups only-</w:t>
            </w:r>
          </w:p>
          <w:tbl>
            <w:tblPr>
              <w:tblStyle w:val="TableGrid"/>
              <w:tblW w:w="0" w:type="auto"/>
              <w:tblLook w:val="04A0" w:firstRow="1" w:lastRow="0" w:firstColumn="1" w:lastColumn="0" w:noHBand="0" w:noVBand="1"/>
            </w:tblPr>
            <w:tblGrid>
              <w:gridCol w:w="1209"/>
              <w:gridCol w:w="1209"/>
              <w:gridCol w:w="1209"/>
              <w:gridCol w:w="1210"/>
              <w:gridCol w:w="1215"/>
            </w:tblGrid>
            <w:tr w:rsidR="005372CD" w14:paraId="62BE728C" w14:textId="77777777" w:rsidTr="005372CD">
              <w:trPr>
                <w:trHeight w:val="288"/>
              </w:trPr>
              <w:tc>
                <w:tcPr>
                  <w:tcW w:w="6052" w:type="dxa"/>
                  <w:gridSpan w:val="5"/>
                </w:tcPr>
                <w:p w14:paraId="5A900937" w14:textId="0F9D072D" w:rsidR="005372CD" w:rsidRDefault="00EE1760" w:rsidP="005372CD">
                  <w:pPr>
                    <w:spacing w:before="60"/>
                  </w:pPr>
                  <w:r>
                    <w:t>PP attainment Summer 202</w:t>
                  </w:r>
                  <w:r w:rsidR="00C61F18">
                    <w:t>4</w:t>
                  </w:r>
                  <w:r>
                    <w:t>-2</w:t>
                  </w:r>
                  <w:r w:rsidR="0014336D">
                    <w:t>02</w:t>
                  </w:r>
                  <w:r w:rsidR="00C61F18">
                    <w:t>5</w:t>
                  </w:r>
                </w:p>
              </w:tc>
            </w:tr>
            <w:tr w:rsidR="005372CD" w14:paraId="7A70658B" w14:textId="77777777" w:rsidTr="00EE1760">
              <w:trPr>
                <w:trHeight w:val="438"/>
              </w:trPr>
              <w:tc>
                <w:tcPr>
                  <w:tcW w:w="1209" w:type="dxa"/>
                </w:tcPr>
                <w:p w14:paraId="3F3D5075" w14:textId="77777777" w:rsidR="005372CD" w:rsidRDefault="005372CD" w:rsidP="005372CD">
                  <w:pPr>
                    <w:spacing w:before="60"/>
                  </w:pPr>
                </w:p>
              </w:tc>
              <w:tc>
                <w:tcPr>
                  <w:tcW w:w="1209" w:type="dxa"/>
                </w:tcPr>
                <w:p w14:paraId="2E446C0D" w14:textId="57A32B79" w:rsidR="005372CD" w:rsidRDefault="005372CD" w:rsidP="005372CD">
                  <w:pPr>
                    <w:spacing w:before="60"/>
                  </w:pPr>
                  <w:r>
                    <w:t>Number in cohort</w:t>
                  </w:r>
                </w:p>
              </w:tc>
              <w:tc>
                <w:tcPr>
                  <w:tcW w:w="1209" w:type="dxa"/>
                </w:tcPr>
                <w:p w14:paraId="11F1F682" w14:textId="2B4F545A" w:rsidR="005372CD" w:rsidRDefault="005372CD" w:rsidP="005372CD">
                  <w:pPr>
                    <w:spacing w:before="60"/>
                  </w:pPr>
                  <w:r>
                    <w:t>Reading</w:t>
                  </w:r>
                </w:p>
              </w:tc>
              <w:tc>
                <w:tcPr>
                  <w:tcW w:w="1210" w:type="dxa"/>
                </w:tcPr>
                <w:p w14:paraId="0A8A8D28" w14:textId="11C271D8" w:rsidR="005372CD" w:rsidRDefault="005372CD" w:rsidP="005372CD">
                  <w:pPr>
                    <w:spacing w:before="60"/>
                  </w:pPr>
                  <w:r>
                    <w:t>Writing</w:t>
                  </w:r>
                </w:p>
              </w:tc>
              <w:tc>
                <w:tcPr>
                  <w:tcW w:w="1215" w:type="dxa"/>
                </w:tcPr>
                <w:p w14:paraId="0055E64A" w14:textId="327429C8" w:rsidR="005372CD" w:rsidRDefault="005372CD" w:rsidP="005372CD">
                  <w:pPr>
                    <w:spacing w:before="60"/>
                  </w:pPr>
                  <w:r>
                    <w:t>Maths</w:t>
                  </w:r>
                </w:p>
              </w:tc>
            </w:tr>
            <w:tr w:rsidR="005372CD" w14:paraId="37480B43" w14:textId="77777777" w:rsidTr="00EE1760">
              <w:trPr>
                <w:trHeight w:val="281"/>
              </w:trPr>
              <w:tc>
                <w:tcPr>
                  <w:tcW w:w="1209" w:type="dxa"/>
                </w:tcPr>
                <w:p w14:paraId="44F47C55" w14:textId="4A0BA38D" w:rsidR="005372CD" w:rsidRDefault="005372CD" w:rsidP="005372CD">
                  <w:pPr>
                    <w:spacing w:before="60"/>
                  </w:pPr>
                  <w:r>
                    <w:t>Y1</w:t>
                  </w:r>
                </w:p>
              </w:tc>
              <w:tc>
                <w:tcPr>
                  <w:tcW w:w="1209" w:type="dxa"/>
                </w:tcPr>
                <w:p w14:paraId="7252B440" w14:textId="25B3C568" w:rsidR="005372CD" w:rsidRDefault="00C61F18" w:rsidP="005372CD">
                  <w:pPr>
                    <w:spacing w:before="60"/>
                  </w:pPr>
                  <w:r>
                    <w:t>4</w:t>
                  </w:r>
                </w:p>
              </w:tc>
              <w:tc>
                <w:tcPr>
                  <w:tcW w:w="1209" w:type="dxa"/>
                </w:tcPr>
                <w:p w14:paraId="69D9E040" w14:textId="47136BAC" w:rsidR="005372CD" w:rsidRDefault="00C61F18" w:rsidP="005372CD">
                  <w:pPr>
                    <w:spacing w:before="60"/>
                  </w:pPr>
                  <w:r>
                    <w:t>75%</w:t>
                  </w:r>
                </w:p>
              </w:tc>
              <w:tc>
                <w:tcPr>
                  <w:tcW w:w="1210" w:type="dxa"/>
                </w:tcPr>
                <w:p w14:paraId="667CF1C1" w14:textId="1A9F1B2B" w:rsidR="005372CD" w:rsidRDefault="00C61F18" w:rsidP="005372CD">
                  <w:pPr>
                    <w:spacing w:before="60"/>
                  </w:pPr>
                  <w:r>
                    <w:t>50%</w:t>
                  </w:r>
                </w:p>
              </w:tc>
              <w:tc>
                <w:tcPr>
                  <w:tcW w:w="1215" w:type="dxa"/>
                </w:tcPr>
                <w:p w14:paraId="625378A4" w14:textId="7B4CE018" w:rsidR="005372CD" w:rsidRDefault="00C61F18" w:rsidP="005372CD">
                  <w:pPr>
                    <w:spacing w:before="60"/>
                  </w:pPr>
                  <w:r>
                    <w:t>75%</w:t>
                  </w:r>
                </w:p>
              </w:tc>
            </w:tr>
            <w:tr w:rsidR="005372CD" w14:paraId="2B2C0BBE" w14:textId="77777777" w:rsidTr="00EE1760">
              <w:trPr>
                <w:trHeight w:val="288"/>
              </w:trPr>
              <w:tc>
                <w:tcPr>
                  <w:tcW w:w="1209" w:type="dxa"/>
                </w:tcPr>
                <w:p w14:paraId="61E4E174" w14:textId="5A7C51F7" w:rsidR="005372CD" w:rsidRDefault="005372CD" w:rsidP="005372CD">
                  <w:pPr>
                    <w:spacing w:before="60"/>
                  </w:pPr>
                  <w:r>
                    <w:t>Y3</w:t>
                  </w:r>
                </w:p>
              </w:tc>
              <w:tc>
                <w:tcPr>
                  <w:tcW w:w="1209" w:type="dxa"/>
                </w:tcPr>
                <w:p w14:paraId="24AA105C" w14:textId="4F3DE896" w:rsidR="005372CD" w:rsidRDefault="00C61F18" w:rsidP="005372CD">
                  <w:pPr>
                    <w:spacing w:before="60"/>
                  </w:pPr>
                  <w:r>
                    <w:t>3</w:t>
                  </w:r>
                </w:p>
              </w:tc>
              <w:tc>
                <w:tcPr>
                  <w:tcW w:w="1209" w:type="dxa"/>
                </w:tcPr>
                <w:p w14:paraId="2B425E82" w14:textId="5BF82B4D" w:rsidR="005372CD" w:rsidRDefault="00C61F18" w:rsidP="005372CD">
                  <w:pPr>
                    <w:spacing w:before="60"/>
                  </w:pPr>
                  <w:r>
                    <w:t>0%</w:t>
                  </w:r>
                </w:p>
              </w:tc>
              <w:tc>
                <w:tcPr>
                  <w:tcW w:w="1210" w:type="dxa"/>
                </w:tcPr>
                <w:p w14:paraId="2C3066D6" w14:textId="387C9541" w:rsidR="005372CD" w:rsidRDefault="00C61F18" w:rsidP="005372CD">
                  <w:pPr>
                    <w:spacing w:before="60"/>
                  </w:pPr>
                  <w:r>
                    <w:t>0%</w:t>
                  </w:r>
                </w:p>
              </w:tc>
              <w:tc>
                <w:tcPr>
                  <w:tcW w:w="1215" w:type="dxa"/>
                </w:tcPr>
                <w:p w14:paraId="57E5EFC4" w14:textId="380B6DD8" w:rsidR="005372CD" w:rsidRDefault="00C61F18" w:rsidP="005372CD">
                  <w:pPr>
                    <w:spacing w:before="60"/>
                  </w:pPr>
                  <w:r>
                    <w:t>25%</w:t>
                  </w:r>
                </w:p>
              </w:tc>
            </w:tr>
            <w:tr w:rsidR="005372CD" w14:paraId="0A412CD4" w14:textId="77777777" w:rsidTr="00EE1760">
              <w:trPr>
                <w:trHeight w:val="281"/>
              </w:trPr>
              <w:tc>
                <w:tcPr>
                  <w:tcW w:w="1209" w:type="dxa"/>
                </w:tcPr>
                <w:p w14:paraId="46500493" w14:textId="26064E3F" w:rsidR="005372CD" w:rsidRDefault="005372CD" w:rsidP="005372CD">
                  <w:pPr>
                    <w:spacing w:before="60"/>
                  </w:pPr>
                  <w:r>
                    <w:t>Y4</w:t>
                  </w:r>
                </w:p>
              </w:tc>
              <w:tc>
                <w:tcPr>
                  <w:tcW w:w="1209" w:type="dxa"/>
                </w:tcPr>
                <w:p w14:paraId="06CC4583" w14:textId="17D5DD1E" w:rsidR="005372CD" w:rsidRDefault="00690466" w:rsidP="005372CD">
                  <w:pPr>
                    <w:spacing w:before="60"/>
                  </w:pPr>
                  <w:r>
                    <w:t>4</w:t>
                  </w:r>
                </w:p>
              </w:tc>
              <w:tc>
                <w:tcPr>
                  <w:tcW w:w="1209" w:type="dxa"/>
                </w:tcPr>
                <w:p w14:paraId="6593585A" w14:textId="0EEFB78E" w:rsidR="005372CD" w:rsidRDefault="0014336D" w:rsidP="005372CD">
                  <w:pPr>
                    <w:spacing w:before="60"/>
                  </w:pPr>
                  <w:r>
                    <w:t>25%</w:t>
                  </w:r>
                </w:p>
              </w:tc>
              <w:tc>
                <w:tcPr>
                  <w:tcW w:w="1210" w:type="dxa"/>
                </w:tcPr>
                <w:p w14:paraId="60B16383" w14:textId="652575DE" w:rsidR="005372CD" w:rsidRDefault="0014336D" w:rsidP="005372CD">
                  <w:pPr>
                    <w:spacing w:before="60"/>
                  </w:pPr>
                  <w:r>
                    <w:t>25%</w:t>
                  </w:r>
                </w:p>
              </w:tc>
              <w:tc>
                <w:tcPr>
                  <w:tcW w:w="1215" w:type="dxa"/>
                </w:tcPr>
                <w:p w14:paraId="10438B3C" w14:textId="1D6F822B" w:rsidR="005372CD" w:rsidRDefault="0014336D" w:rsidP="005372CD">
                  <w:pPr>
                    <w:spacing w:before="60"/>
                  </w:pPr>
                  <w:r>
                    <w:t>50%</w:t>
                  </w:r>
                </w:p>
              </w:tc>
            </w:tr>
            <w:tr w:rsidR="005372CD" w14:paraId="213D2523" w14:textId="77777777" w:rsidTr="00EE1760">
              <w:trPr>
                <w:trHeight w:val="281"/>
              </w:trPr>
              <w:tc>
                <w:tcPr>
                  <w:tcW w:w="1209" w:type="dxa"/>
                </w:tcPr>
                <w:p w14:paraId="6FFB55E1" w14:textId="75CEFE54" w:rsidR="005372CD" w:rsidRDefault="005372CD" w:rsidP="005372CD">
                  <w:pPr>
                    <w:spacing w:before="60"/>
                  </w:pPr>
                  <w:r>
                    <w:t>Y5</w:t>
                  </w:r>
                </w:p>
              </w:tc>
              <w:tc>
                <w:tcPr>
                  <w:tcW w:w="1209" w:type="dxa"/>
                </w:tcPr>
                <w:p w14:paraId="181A92F3" w14:textId="5AA20BCD" w:rsidR="005372CD" w:rsidRDefault="00C61F18" w:rsidP="005372CD">
                  <w:pPr>
                    <w:spacing w:before="60"/>
                  </w:pPr>
                  <w:r>
                    <w:t>4</w:t>
                  </w:r>
                </w:p>
              </w:tc>
              <w:tc>
                <w:tcPr>
                  <w:tcW w:w="1209" w:type="dxa"/>
                </w:tcPr>
                <w:p w14:paraId="4E8431A5" w14:textId="4ABF61FF" w:rsidR="005372CD" w:rsidRDefault="00C61F18" w:rsidP="005372CD">
                  <w:pPr>
                    <w:spacing w:before="60"/>
                  </w:pPr>
                  <w:r>
                    <w:t>75%</w:t>
                  </w:r>
                </w:p>
              </w:tc>
              <w:tc>
                <w:tcPr>
                  <w:tcW w:w="1210" w:type="dxa"/>
                </w:tcPr>
                <w:p w14:paraId="407157B7" w14:textId="68B8AC56" w:rsidR="005372CD" w:rsidRDefault="00C61F18" w:rsidP="005372CD">
                  <w:pPr>
                    <w:spacing w:before="60"/>
                  </w:pPr>
                  <w:r>
                    <w:t>0%</w:t>
                  </w:r>
                </w:p>
              </w:tc>
              <w:tc>
                <w:tcPr>
                  <w:tcW w:w="1215" w:type="dxa"/>
                </w:tcPr>
                <w:p w14:paraId="573ED9FA" w14:textId="3629C0FA" w:rsidR="005372CD" w:rsidRDefault="00C61F18" w:rsidP="005372CD">
                  <w:pPr>
                    <w:spacing w:before="60"/>
                  </w:pPr>
                  <w:r>
                    <w:t>50%</w:t>
                  </w:r>
                </w:p>
              </w:tc>
            </w:tr>
          </w:tbl>
          <w:p w14:paraId="37C1DC42" w14:textId="77777777" w:rsidR="0014336D" w:rsidRPr="0014336D" w:rsidRDefault="0014336D" w:rsidP="0014336D">
            <w:pPr>
              <w:pStyle w:val="NormalWeb"/>
              <w:rPr>
                <w:rFonts w:ascii="Arial" w:hAnsi="Arial"/>
                <w:color w:val="0D0D0D"/>
              </w:rPr>
            </w:pPr>
            <w:r w:rsidRPr="0014336D">
              <w:rPr>
                <w:rFonts w:ascii="Arial" w:hAnsi="Arial"/>
                <w:color w:val="0D0D0D"/>
              </w:rPr>
              <w:t>Pupil Premium pupils show uneven attainment across subjects and year groups. Key findings:</w:t>
            </w:r>
          </w:p>
          <w:p w14:paraId="232BAC97" w14:textId="77777777" w:rsidR="0014336D" w:rsidRPr="0014336D" w:rsidRDefault="0014336D" w:rsidP="0014336D">
            <w:pPr>
              <w:pStyle w:val="NormalWeb"/>
              <w:numPr>
                <w:ilvl w:val="0"/>
                <w:numId w:val="33"/>
              </w:numPr>
              <w:rPr>
                <w:rFonts w:ascii="Arial" w:hAnsi="Arial"/>
                <w:color w:val="0D0D0D"/>
              </w:rPr>
            </w:pPr>
            <w:r w:rsidRPr="0014336D">
              <w:rPr>
                <w:rFonts w:ascii="Arial" w:hAnsi="Arial"/>
                <w:b/>
                <w:bCs/>
                <w:color w:val="0D0D0D"/>
              </w:rPr>
              <w:t>Strengths:</w:t>
            </w:r>
            <w:r w:rsidRPr="0014336D">
              <w:rPr>
                <w:rFonts w:ascii="Arial" w:hAnsi="Arial"/>
                <w:color w:val="0D0D0D"/>
              </w:rPr>
              <w:t xml:space="preserve"> Reading attainment is strong in Year 1 (75%) and Year 5 (75%). Maths attainment is moderate to strong in Y1 (75%) and Y4/Y5 (50%).</w:t>
            </w:r>
          </w:p>
          <w:p w14:paraId="5D88E3D0" w14:textId="17F60272" w:rsidR="0014336D" w:rsidRPr="0014336D" w:rsidRDefault="0014336D" w:rsidP="0014336D">
            <w:pPr>
              <w:pStyle w:val="NormalWeb"/>
              <w:numPr>
                <w:ilvl w:val="0"/>
                <w:numId w:val="33"/>
              </w:numPr>
              <w:rPr>
                <w:rFonts w:ascii="Arial" w:hAnsi="Arial"/>
                <w:color w:val="0D0D0D"/>
              </w:rPr>
            </w:pPr>
            <w:r w:rsidRPr="0014336D">
              <w:rPr>
                <w:rFonts w:ascii="Arial" w:hAnsi="Arial"/>
                <w:b/>
                <w:bCs/>
                <w:color w:val="0D0D0D"/>
              </w:rPr>
              <w:t>Weaknesses:</w:t>
            </w:r>
            <w:r w:rsidRPr="0014336D">
              <w:rPr>
                <w:rFonts w:ascii="Arial" w:hAnsi="Arial"/>
                <w:color w:val="0D0D0D"/>
              </w:rPr>
              <w:t xml:space="preserve"> Writing is the lowest performing subject across all cohorts. Year 3 pupils show the most significant underachievement, with 0% in Reading and Writing and </w:t>
            </w:r>
            <w:r>
              <w:rPr>
                <w:rFonts w:ascii="Arial" w:hAnsi="Arial"/>
                <w:color w:val="0D0D0D"/>
              </w:rPr>
              <w:t xml:space="preserve">only </w:t>
            </w:r>
            <w:r w:rsidRPr="0014336D">
              <w:rPr>
                <w:rFonts w:ascii="Arial" w:hAnsi="Arial"/>
                <w:color w:val="0D0D0D"/>
              </w:rPr>
              <w:t>25% in Maths.</w:t>
            </w:r>
          </w:p>
          <w:p w14:paraId="67987CED" w14:textId="77777777" w:rsidR="0014336D" w:rsidRPr="0014336D" w:rsidRDefault="0014336D" w:rsidP="0014336D">
            <w:pPr>
              <w:pStyle w:val="NormalWeb"/>
              <w:numPr>
                <w:ilvl w:val="0"/>
                <w:numId w:val="33"/>
              </w:numPr>
              <w:rPr>
                <w:rFonts w:ascii="Arial" w:hAnsi="Arial"/>
                <w:color w:val="0D0D0D"/>
              </w:rPr>
            </w:pPr>
            <w:r w:rsidRPr="0014336D">
              <w:rPr>
                <w:rFonts w:ascii="Arial" w:hAnsi="Arial"/>
                <w:b/>
                <w:bCs/>
                <w:color w:val="0D0D0D"/>
              </w:rPr>
              <w:t>Priority Actions:</w:t>
            </w:r>
          </w:p>
          <w:p w14:paraId="5FFD6C2F" w14:textId="77777777" w:rsidR="0014336D" w:rsidRPr="0014336D" w:rsidRDefault="0014336D" w:rsidP="0014336D">
            <w:pPr>
              <w:pStyle w:val="NormalWeb"/>
              <w:numPr>
                <w:ilvl w:val="1"/>
                <w:numId w:val="33"/>
              </w:numPr>
              <w:rPr>
                <w:rFonts w:ascii="Arial" w:hAnsi="Arial"/>
                <w:color w:val="0D0D0D"/>
              </w:rPr>
            </w:pPr>
            <w:r w:rsidRPr="0014336D">
              <w:rPr>
                <w:rFonts w:ascii="Arial" w:hAnsi="Arial"/>
                <w:color w:val="0D0D0D"/>
              </w:rPr>
              <w:t>Implement targeted Writing interventions across all year groups.</w:t>
            </w:r>
          </w:p>
          <w:p w14:paraId="182C29FB" w14:textId="77777777" w:rsidR="0014336D" w:rsidRPr="0014336D" w:rsidRDefault="0014336D" w:rsidP="0014336D">
            <w:pPr>
              <w:pStyle w:val="NormalWeb"/>
              <w:numPr>
                <w:ilvl w:val="1"/>
                <w:numId w:val="33"/>
              </w:numPr>
              <w:rPr>
                <w:rFonts w:ascii="Arial" w:hAnsi="Arial"/>
                <w:color w:val="0D0D0D"/>
              </w:rPr>
            </w:pPr>
            <w:r w:rsidRPr="0014336D">
              <w:rPr>
                <w:rFonts w:ascii="Arial" w:hAnsi="Arial"/>
                <w:color w:val="0D0D0D"/>
              </w:rPr>
              <w:t>Provide intensive support for Year 3 PP pupils to accelerate progress.</w:t>
            </w:r>
          </w:p>
          <w:p w14:paraId="71535307" w14:textId="77777777" w:rsidR="0014336D" w:rsidRPr="0014336D" w:rsidRDefault="0014336D" w:rsidP="0014336D">
            <w:pPr>
              <w:pStyle w:val="NormalWeb"/>
              <w:numPr>
                <w:ilvl w:val="1"/>
                <w:numId w:val="33"/>
              </w:numPr>
              <w:rPr>
                <w:rFonts w:ascii="Arial" w:hAnsi="Arial"/>
                <w:color w:val="0D0D0D"/>
              </w:rPr>
            </w:pPr>
            <w:r w:rsidRPr="0014336D">
              <w:rPr>
                <w:rFonts w:ascii="Arial" w:hAnsi="Arial"/>
                <w:color w:val="0D0D0D"/>
              </w:rPr>
              <w:t>Address Maths gaps in Years 4 and 5 while consolidating Reading strengths.</w:t>
            </w:r>
          </w:p>
          <w:p w14:paraId="24A5335F" w14:textId="77777777" w:rsidR="0014336D" w:rsidRPr="0014336D" w:rsidRDefault="0014336D" w:rsidP="0014336D">
            <w:pPr>
              <w:pStyle w:val="NormalWeb"/>
              <w:rPr>
                <w:rFonts w:ascii="Arial" w:hAnsi="Arial"/>
                <w:color w:val="0D0D0D"/>
              </w:rPr>
            </w:pPr>
            <w:r w:rsidRPr="0014336D">
              <w:rPr>
                <w:rFonts w:ascii="Arial" w:hAnsi="Arial"/>
                <w:color w:val="0D0D0D"/>
              </w:rPr>
              <w:t>This summary highlights areas for immediate focus to ensure PP pupils make expected progress and reduce attainment gaps.</w:t>
            </w:r>
          </w:p>
          <w:p w14:paraId="37B4B687" w14:textId="490F815A" w:rsidR="005372CD" w:rsidRDefault="005372CD" w:rsidP="005372CD">
            <w:pPr>
              <w:spacing w:before="60"/>
            </w:pPr>
          </w:p>
          <w:p w14:paraId="72E222E6" w14:textId="129E68E1" w:rsidR="0026006F" w:rsidRPr="00C578CA" w:rsidRDefault="0026006F" w:rsidP="005372CD">
            <w:pPr>
              <w:spacing w:before="60"/>
              <w:rPr>
                <w:b/>
                <w:bCs/>
                <w:u w:val="single"/>
              </w:rPr>
            </w:pPr>
            <w:r w:rsidRPr="00C578CA">
              <w:rPr>
                <w:b/>
                <w:bCs/>
                <w:u w:val="single"/>
              </w:rPr>
              <w:t>Attendance</w:t>
            </w:r>
          </w:p>
          <w:p w14:paraId="6E3CAA3F" w14:textId="65BBDFE7" w:rsidR="0064167B" w:rsidRDefault="00F01407" w:rsidP="00242093">
            <w:pPr>
              <w:spacing w:before="60"/>
            </w:pPr>
            <w:r>
              <w:t xml:space="preserve">Attendance of PP children in the academic </w:t>
            </w:r>
            <w:r w:rsidR="00913800">
              <w:t>y</w:t>
            </w:r>
            <w:r>
              <w:t xml:space="preserve">ear </w:t>
            </w:r>
            <w:r w:rsidR="003C75BC">
              <w:t>2</w:t>
            </w:r>
            <w:r w:rsidR="00110A3E">
              <w:t>4</w:t>
            </w:r>
            <w:r w:rsidR="003C75BC">
              <w:t>/2</w:t>
            </w:r>
            <w:r w:rsidR="00110A3E">
              <w:t>5</w:t>
            </w:r>
            <w:r w:rsidR="003C75BC">
              <w:t xml:space="preserve"> was </w:t>
            </w:r>
            <w:r w:rsidR="00690466">
              <w:t>slightly lower for</w:t>
            </w:r>
            <w:r w:rsidR="00913800">
              <w:t xml:space="preserve"> non-PP children at </w:t>
            </w:r>
            <w:r w:rsidR="00690466">
              <w:t>93.5</w:t>
            </w:r>
            <w:r w:rsidR="00913800">
              <w:t>%</w:t>
            </w:r>
            <w:r w:rsidR="00690466">
              <w:t xml:space="preserve"> in comparison to 94.9% for non-PP children. </w:t>
            </w:r>
          </w:p>
          <w:p w14:paraId="73898BC3" w14:textId="7EC3B8CA" w:rsidR="00E54257" w:rsidRDefault="00E54257" w:rsidP="00242093">
            <w:pPr>
              <w:spacing w:before="60"/>
            </w:pPr>
          </w:p>
          <w:p w14:paraId="35950E73" w14:textId="77777777" w:rsidR="00E54257" w:rsidRDefault="00E54257" w:rsidP="00242093">
            <w:pPr>
              <w:spacing w:before="60"/>
            </w:pPr>
          </w:p>
          <w:p w14:paraId="240AC3AE" w14:textId="0EB135D0" w:rsidR="00C9459D" w:rsidRPr="0021608A" w:rsidRDefault="00C9459D" w:rsidP="00242093">
            <w:pPr>
              <w:spacing w:before="60"/>
              <w:rPr>
                <w:b/>
                <w:bCs/>
                <w:u w:val="single"/>
              </w:rPr>
            </w:pPr>
            <w:r w:rsidRPr="0021608A">
              <w:rPr>
                <w:b/>
                <w:bCs/>
                <w:u w:val="single"/>
              </w:rPr>
              <w:lastRenderedPageBreak/>
              <w:t>Summary of impact:</w:t>
            </w:r>
          </w:p>
          <w:p w14:paraId="7C1DD79A" w14:textId="77777777" w:rsidR="00E54257" w:rsidRDefault="00E54257" w:rsidP="00E54257">
            <w:pPr>
              <w:pStyle w:val="NormalWeb"/>
              <w:rPr>
                <w:rFonts w:ascii="Arial" w:hAnsi="Arial"/>
                <w:color w:val="0D0D0D"/>
              </w:rPr>
            </w:pPr>
            <w:r w:rsidRPr="00E54257">
              <w:rPr>
                <w:rFonts w:ascii="Arial" w:hAnsi="Arial"/>
                <w:color w:val="0D0D0D"/>
              </w:rPr>
              <w:t xml:space="preserve">In 2024/25, Pupil Premium (PP) funding supported strong early outcomes, with 75% of pupils passing the Y1 phonics screening with full marks. Performance in the Multiplication Tables Check improved following additional staff CPD and targeted in-year intervention, with 50% of PP pupils achieving full marks and 75% scoring 20 or more. KS1 outcomes were mixed: 50% of PP pupils achieved Age-Related Expectations (ARE) in Reading and Maths, but 0% achieved ARE in Writing or Combined, indicating an early writing gap. At KS2, attainment remained uneven, with moderate outcomes in Reading (57%) and Maths (43%), but continued underachievement in Writing (29%) and Combined (29%). Internal data from non-statutory year groups mirrors this picture, showing strong Reading in Year 1 and Year 5, but Writing as the weakest subject across all cohorts, particularly in Year 3 where attainment is significantly below expectations. </w:t>
            </w:r>
          </w:p>
          <w:p w14:paraId="60482B9C" w14:textId="7D5220E3" w:rsidR="00E54257" w:rsidRPr="00E54257" w:rsidRDefault="00E54257" w:rsidP="00E54257">
            <w:pPr>
              <w:pStyle w:val="NormalWeb"/>
              <w:rPr>
                <w:rFonts w:ascii="Arial" w:hAnsi="Arial"/>
                <w:color w:val="0D0D0D"/>
              </w:rPr>
            </w:pPr>
            <w:r w:rsidRPr="00E54257">
              <w:rPr>
                <w:rFonts w:ascii="Arial" w:hAnsi="Arial"/>
                <w:color w:val="0D0D0D"/>
              </w:rPr>
              <w:t>Attendance for PP pupils was slightly lower than non-PP pupils (93.5% compared to 94.9%). Overall, targeted funding has had a positive impact on early reading and maths outcomes, but sustained focus on Writing, combined attainment, and targeted cohort support</w:t>
            </w:r>
            <w:r>
              <w:rPr>
                <w:rFonts w:ascii="Arial" w:hAnsi="Arial"/>
                <w:color w:val="0D0D0D"/>
              </w:rPr>
              <w:t xml:space="preserve">, </w:t>
            </w:r>
            <w:r w:rsidRPr="00E54257">
              <w:rPr>
                <w:rFonts w:ascii="Arial" w:hAnsi="Arial"/>
                <w:color w:val="0D0D0D"/>
              </w:rPr>
              <w:t>particularly in Key Stage 2</w:t>
            </w:r>
            <w:r>
              <w:rPr>
                <w:rFonts w:ascii="Arial" w:hAnsi="Arial"/>
                <w:color w:val="0D0D0D"/>
              </w:rPr>
              <w:t xml:space="preserve">, </w:t>
            </w:r>
            <w:r w:rsidRPr="00E54257">
              <w:rPr>
                <w:rFonts w:ascii="Arial" w:hAnsi="Arial"/>
                <w:color w:val="0D0D0D"/>
              </w:rPr>
              <w:t>is required to reduce gaps and secure consistent progress.</w:t>
            </w:r>
          </w:p>
          <w:p w14:paraId="5023926C" w14:textId="373017D5" w:rsidR="003C75BC" w:rsidRPr="003C75BC" w:rsidRDefault="003C75BC" w:rsidP="00110A3E">
            <w:pPr>
              <w:spacing w:before="60"/>
            </w:pPr>
          </w:p>
        </w:tc>
      </w:tr>
    </w:tbl>
    <w:p w14:paraId="3031C14E" w14:textId="77777777" w:rsidR="00C9459D" w:rsidRDefault="00C9459D" w:rsidP="00A82A98">
      <w:pPr>
        <w:pStyle w:val="Heading2"/>
      </w:pPr>
    </w:p>
    <w:p w14:paraId="2A7D5548" w14:textId="53C7B9DA" w:rsidR="00E66558" w:rsidRDefault="006D6372" w:rsidP="00A82A98">
      <w:pPr>
        <w:pStyle w:val="Heading2"/>
      </w:pPr>
      <w:r>
        <w:t>E</w:t>
      </w:r>
      <w:r w:rsidR="009D71E8">
        <w:t xml:space="preserve">xternally provided </w:t>
      </w:r>
      <w:r w:rsidR="009D71E8" w:rsidRPr="00781713">
        <w:t>programmes</w:t>
      </w:r>
    </w:p>
    <w:p w14:paraId="2A7D5549" w14:textId="1DAEF3DE"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(or recovery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5046E986" w:rsidR="00E66558" w:rsidRDefault="00191C2C">
            <w:pPr>
              <w:pStyle w:val="TableRow"/>
            </w:pPr>
            <w:r>
              <w:t>SEESAW online learning platform</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06EEE7E4" w:rsidR="00E66558" w:rsidRDefault="00191C2C">
            <w:pPr>
              <w:pStyle w:val="TableRowCentered"/>
              <w:jc w:val="left"/>
            </w:pPr>
            <w:r>
              <w:t>SEESAW</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1C7DC8B7" w:rsidR="00E66558" w:rsidRDefault="00ED3911">
            <w:pPr>
              <w:pStyle w:val="TableRow"/>
            </w:pPr>
            <w:r>
              <w:t xml:space="preserve">TT Rockstars- online times tables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4300A7E5" w:rsidR="00E66558" w:rsidRDefault="00ED3911">
            <w:pPr>
              <w:pStyle w:val="TableRowCentered"/>
              <w:jc w:val="left"/>
            </w:pPr>
            <w:r>
              <w:t xml:space="preserve">TT Rockstars </w:t>
            </w:r>
          </w:p>
        </w:tc>
      </w:tr>
      <w:tr w:rsidR="00ED3911" w14:paraId="72C0BB43"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77D85" w14:textId="66009898" w:rsidR="00ED3911" w:rsidRDefault="00ED3911">
            <w:pPr>
              <w:pStyle w:val="TableRow"/>
            </w:pPr>
            <w:r>
              <w:t>Spelling shed- online spelling game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73247" w14:textId="3B86EBA9" w:rsidR="00ED3911" w:rsidRDefault="00ED3911">
            <w:pPr>
              <w:pStyle w:val="TableRowCentered"/>
              <w:jc w:val="left"/>
            </w:pPr>
            <w:r>
              <w:t>EDSHED</w:t>
            </w:r>
          </w:p>
        </w:tc>
      </w:tr>
      <w:tr w:rsidR="00913800" w14:paraId="4894F48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0B1A4" w14:textId="5DFE769F" w:rsidR="00913800" w:rsidRDefault="00110A3E">
            <w:pPr>
              <w:pStyle w:val="TableRow"/>
            </w:pPr>
            <w:r>
              <w:t>Reflex and Frax</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BC86D" w14:textId="75256465" w:rsidR="00913800" w:rsidRDefault="00110A3E">
            <w:pPr>
              <w:pStyle w:val="TableRowCentered"/>
              <w:jc w:val="left"/>
            </w:pPr>
            <w:r>
              <w:t>Explore Learning</w:t>
            </w:r>
          </w:p>
        </w:tc>
      </w:tr>
    </w:tbl>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7DA91" w14:textId="77777777" w:rsidR="00BD6248" w:rsidRDefault="00E7369E">
            <w:pPr>
              <w:spacing w:before="120" w:after="120"/>
            </w:pPr>
            <w:r>
              <w:t xml:space="preserve">We are continuing to triangulate evidence from multiple sources of data including assessments, class book scrutiny, conversations with parents, students and teachers in order to identify the challenges faced by disadvantaged pupils. We also used the EEF’s families of schools database to view the performance of disadvantaged pupils in schools similar to ours and it is our intention to contact schools with high-performing  disadvantaged pupils to learn from their approach, including those from within our local authority. </w:t>
            </w:r>
          </w:p>
          <w:p w14:paraId="6E43D36D" w14:textId="206530A5" w:rsidR="00E66558" w:rsidRDefault="00E7369E">
            <w:pPr>
              <w:spacing w:before="120" w:after="120"/>
            </w:pPr>
            <w:r>
              <w:t>We have looked at a number of reports, studies and research papers about effective use of pupil premium, the impact of disadvantage on education outcomes and how to address challenges to learning presented by socio-economic disadvantage. We also looked at studies about the impact of the pandemic on disadvantaged pupils. We used the EEF’s implementation guidance to help us develop our strategy, particularly the ‘explore’ phase to help us diagnose specific pupil needs and work out which activities and approaches are likely to work in our school. We will continue to use it through the implementation of activities.</w:t>
            </w:r>
          </w:p>
          <w:p w14:paraId="60BB8A30" w14:textId="77777777" w:rsidR="00F04D58" w:rsidRDefault="00F04D58">
            <w:pPr>
              <w:spacing w:before="120" w:after="120"/>
              <w:rPr>
                <w:rFonts w:cs="Arial"/>
                <w:i/>
                <w:iCs/>
              </w:rPr>
            </w:pPr>
          </w:p>
          <w:p w14:paraId="2607F2F8" w14:textId="77777777" w:rsidR="00F04D58" w:rsidRPr="002D541F" w:rsidRDefault="00F04D58">
            <w:pPr>
              <w:spacing w:before="120" w:after="120"/>
              <w:rPr>
                <w:b/>
                <w:bCs/>
              </w:rPr>
            </w:pPr>
            <w:r w:rsidRPr="002D541F">
              <w:rPr>
                <w:b/>
                <w:bCs/>
              </w:rPr>
              <w:t xml:space="preserve">Additional activity </w:t>
            </w:r>
          </w:p>
          <w:p w14:paraId="2C92EB17" w14:textId="77777777" w:rsidR="00F04D58" w:rsidRDefault="00F04D58">
            <w:pPr>
              <w:spacing w:before="120" w:after="120"/>
            </w:pPr>
            <w:r>
              <w:t xml:space="preserve">Our pupil premium strategy will be supplemented by additional activity that is not being funded by pupil premium or recovery premium. That will include: </w:t>
            </w:r>
          </w:p>
          <w:p w14:paraId="245E4EA7" w14:textId="77777777" w:rsidR="00F04D58" w:rsidRDefault="00F04D58">
            <w:pPr>
              <w:spacing w:before="120" w:after="120"/>
            </w:pPr>
            <w:r>
              <w:t xml:space="preserve">• embedding more effective practice around feedback. EEF evidence demonstrates this has significant benefits for pupils, particularly disadvantaged pupils. </w:t>
            </w:r>
          </w:p>
          <w:p w14:paraId="78D0E7DC" w14:textId="77777777" w:rsidR="00F04D58" w:rsidRDefault="00F04D58" w:rsidP="00913800">
            <w:pPr>
              <w:spacing w:before="120" w:after="120"/>
            </w:pPr>
            <w:r>
              <w:t>• reviewing and relaunching a parent engagement strategy. Leaders are passionate about reintegrating the school community back into school life following the recent years of disruption.</w:t>
            </w:r>
          </w:p>
          <w:p w14:paraId="2A7D5562" w14:textId="52A40140" w:rsidR="00C9459D" w:rsidRPr="00F04D58" w:rsidRDefault="00C9459D" w:rsidP="00913800">
            <w:pPr>
              <w:spacing w:before="120" w:after="120"/>
              <w:rPr>
                <w:rFonts w:cs="Arial"/>
              </w:rPr>
            </w:pPr>
          </w:p>
        </w:tc>
      </w:tr>
      <w:bookmarkEnd w:id="14"/>
      <w:bookmarkEnd w:id="15"/>
      <w:bookmarkEnd w:id="16"/>
    </w:tbl>
    <w:p w14:paraId="2A7D5564" w14:textId="77777777" w:rsidR="00E66558" w:rsidRDefault="00E66558"/>
    <w:sectPr w:rsidR="00E66558">
      <w:headerReference w:type="default" r:id="rId12"/>
      <w:footerReference w:type="default" r:id="rId1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14CC6" w14:textId="77777777" w:rsidR="00BC13F0" w:rsidRDefault="00BC13F0">
      <w:pPr>
        <w:spacing w:after="0" w:line="240" w:lineRule="auto"/>
      </w:pPr>
      <w:r>
        <w:separator/>
      </w:r>
    </w:p>
  </w:endnote>
  <w:endnote w:type="continuationSeparator" w:id="0">
    <w:p w14:paraId="0498AA95" w14:textId="77777777" w:rsidR="00BC13F0" w:rsidRDefault="00BC13F0">
      <w:pPr>
        <w:spacing w:after="0" w:line="240" w:lineRule="auto"/>
      </w:pPr>
      <w:r>
        <w:continuationSeparator/>
      </w:r>
    </w:p>
  </w:endnote>
  <w:endnote w:type="continuationNotice" w:id="1">
    <w:p w14:paraId="51836E44" w14:textId="77777777" w:rsidR="00BC13F0" w:rsidRDefault="00BC13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43621" w14:textId="77777777" w:rsidR="00BC13F0" w:rsidRDefault="00BC13F0">
      <w:pPr>
        <w:spacing w:after="0" w:line="240" w:lineRule="auto"/>
      </w:pPr>
      <w:r>
        <w:separator/>
      </w:r>
    </w:p>
  </w:footnote>
  <w:footnote w:type="continuationSeparator" w:id="0">
    <w:p w14:paraId="7A2F4363" w14:textId="77777777" w:rsidR="00BC13F0" w:rsidRDefault="00BC13F0">
      <w:pPr>
        <w:spacing w:after="0" w:line="240" w:lineRule="auto"/>
      </w:pPr>
      <w:r>
        <w:continuationSeparator/>
      </w:r>
    </w:p>
  </w:footnote>
  <w:footnote w:type="continuationNotice" w:id="1">
    <w:p w14:paraId="6655BEA4" w14:textId="77777777" w:rsidR="00BC13F0" w:rsidRDefault="00BC13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944C7"/>
    <w:multiLevelType w:val="hybridMultilevel"/>
    <w:tmpl w:val="8EF275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FDA28FC"/>
    <w:multiLevelType w:val="hybridMultilevel"/>
    <w:tmpl w:val="156E8E9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D3739F"/>
    <w:multiLevelType w:val="hybridMultilevel"/>
    <w:tmpl w:val="C060C0B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5AA295A"/>
    <w:multiLevelType w:val="hybridMultilevel"/>
    <w:tmpl w:val="B8BC8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74C3A07"/>
    <w:multiLevelType w:val="hybridMultilevel"/>
    <w:tmpl w:val="A5BA6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40B53DD"/>
    <w:multiLevelType w:val="hybridMultilevel"/>
    <w:tmpl w:val="9544C3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03664F"/>
    <w:multiLevelType w:val="hybridMultilevel"/>
    <w:tmpl w:val="604831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592A74"/>
    <w:multiLevelType w:val="hybridMultilevel"/>
    <w:tmpl w:val="AC141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3227E4"/>
    <w:multiLevelType w:val="hybridMultilevel"/>
    <w:tmpl w:val="785A7BC4"/>
    <w:lvl w:ilvl="0" w:tplc="08090001">
      <w:start w:val="1"/>
      <w:numFmt w:val="bullet"/>
      <w:lvlText w:val=""/>
      <w:lvlJc w:val="left"/>
      <w:pPr>
        <w:ind w:left="720" w:hanging="360"/>
      </w:pPr>
      <w:rPr>
        <w:rFonts w:ascii="Symbol" w:hAnsi="Symbol" w:hint="default"/>
      </w:rPr>
    </w:lvl>
    <w:lvl w:ilvl="1" w:tplc="B2329FA2">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DB2615"/>
    <w:multiLevelType w:val="hybridMultilevel"/>
    <w:tmpl w:val="3A6E1B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413F5D5D"/>
    <w:multiLevelType w:val="hybridMultilevel"/>
    <w:tmpl w:val="F7481A4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AE66A1"/>
    <w:multiLevelType w:val="hybridMultilevel"/>
    <w:tmpl w:val="F4C2526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8D11824"/>
    <w:multiLevelType w:val="hybridMultilevel"/>
    <w:tmpl w:val="9E62A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1CA56B3"/>
    <w:multiLevelType w:val="hybridMultilevel"/>
    <w:tmpl w:val="D33EA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5" w15:restartNumberingAfterBreak="0">
    <w:nsid w:val="6DDE29C2"/>
    <w:multiLevelType w:val="hybridMultilevel"/>
    <w:tmpl w:val="85B88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8" w15:restartNumberingAfterBreak="0">
    <w:nsid w:val="731A0608"/>
    <w:multiLevelType w:val="hybridMultilevel"/>
    <w:tmpl w:val="1C70744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9CA035B"/>
    <w:multiLevelType w:val="hybridMultilevel"/>
    <w:tmpl w:val="BC1047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D614AFC"/>
    <w:multiLevelType w:val="multilevel"/>
    <w:tmpl w:val="DEC259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8"/>
  </w:num>
  <w:num w:numId="4">
    <w:abstractNumId w:val="10"/>
  </w:num>
  <w:num w:numId="5">
    <w:abstractNumId w:val="1"/>
  </w:num>
  <w:num w:numId="6">
    <w:abstractNumId w:val="16"/>
  </w:num>
  <w:num w:numId="7">
    <w:abstractNumId w:val="23"/>
  </w:num>
  <w:num w:numId="8">
    <w:abstractNumId w:val="29"/>
  </w:num>
  <w:num w:numId="9">
    <w:abstractNumId w:val="26"/>
  </w:num>
  <w:num w:numId="10">
    <w:abstractNumId w:val="24"/>
  </w:num>
  <w:num w:numId="11">
    <w:abstractNumId w:val="5"/>
  </w:num>
  <w:num w:numId="12">
    <w:abstractNumId w:val="27"/>
  </w:num>
  <w:num w:numId="13">
    <w:abstractNumId w:val="21"/>
  </w:num>
  <w:num w:numId="14">
    <w:abstractNumId w:val="18"/>
  </w:num>
  <w:num w:numId="15">
    <w:abstractNumId w:val="7"/>
  </w:num>
  <w:num w:numId="16">
    <w:abstractNumId w:val="7"/>
  </w:num>
  <w:num w:numId="17">
    <w:abstractNumId w:val="20"/>
  </w:num>
  <w:num w:numId="18">
    <w:abstractNumId w:val="14"/>
  </w:num>
  <w:num w:numId="19">
    <w:abstractNumId w:val="12"/>
  </w:num>
  <w:num w:numId="20">
    <w:abstractNumId w:val="22"/>
  </w:num>
  <w:num w:numId="21">
    <w:abstractNumId w:val="11"/>
  </w:num>
  <w:num w:numId="22">
    <w:abstractNumId w:val="15"/>
  </w:num>
  <w:num w:numId="23">
    <w:abstractNumId w:val="25"/>
  </w:num>
  <w:num w:numId="24">
    <w:abstractNumId w:val="30"/>
  </w:num>
  <w:num w:numId="25">
    <w:abstractNumId w:val="9"/>
  </w:num>
  <w:num w:numId="26">
    <w:abstractNumId w:val="13"/>
  </w:num>
  <w:num w:numId="27">
    <w:abstractNumId w:val="28"/>
  </w:num>
  <w:num w:numId="28">
    <w:abstractNumId w:val="4"/>
  </w:num>
  <w:num w:numId="29">
    <w:abstractNumId w:val="3"/>
  </w:num>
  <w:num w:numId="30">
    <w:abstractNumId w:val="19"/>
  </w:num>
  <w:num w:numId="31">
    <w:abstractNumId w:val="17"/>
  </w:num>
  <w:num w:numId="32">
    <w:abstractNumId w:val="0"/>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36A"/>
    <w:rsid w:val="00003A45"/>
    <w:rsid w:val="00022488"/>
    <w:rsid w:val="00023729"/>
    <w:rsid w:val="000243B4"/>
    <w:rsid w:val="0002530E"/>
    <w:rsid w:val="00025AEF"/>
    <w:rsid w:val="0002710D"/>
    <w:rsid w:val="000320FC"/>
    <w:rsid w:val="00036678"/>
    <w:rsid w:val="000452EB"/>
    <w:rsid w:val="00045603"/>
    <w:rsid w:val="000463AE"/>
    <w:rsid w:val="000507A3"/>
    <w:rsid w:val="00060A62"/>
    <w:rsid w:val="00064366"/>
    <w:rsid w:val="00066B73"/>
    <w:rsid w:val="00071481"/>
    <w:rsid w:val="00075FAE"/>
    <w:rsid w:val="00082F38"/>
    <w:rsid w:val="000837DB"/>
    <w:rsid w:val="0008384B"/>
    <w:rsid w:val="000929EC"/>
    <w:rsid w:val="00093CDE"/>
    <w:rsid w:val="000A5C58"/>
    <w:rsid w:val="000A6379"/>
    <w:rsid w:val="000B0D49"/>
    <w:rsid w:val="000B203E"/>
    <w:rsid w:val="000D0217"/>
    <w:rsid w:val="000D22B0"/>
    <w:rsid w:val="000D35C9"/>
    <w:rsid w:val="000D520C"/>
    <w:rsid w:val="000D6596"/>
    <w:rsid w:val="000D6779"/>
    <w:rsid w:val="000E6DF0"/>
    <w:rsid w:val="001037CB"/>
    <w:rsid w:val="0010629E"/>
    <w:rsid w:val="00110A3E"/>
    <w:rsid w:val="00113FD0"/>
    <w:rsid w:val="00114288"/>
    <w:rsid w:val="00115538"/>
    <w:rsid w:val="00116FA8"/>
    <w:rsid w:val="00120AB1"/>
    <w:rsid w:val="00123A7F"/>
    <w:rsid w:val="001278D0"/>
    <w:rsid w:val="00127F72"/>
    <w:rsid w:val="00140646"/>
    <w:rsid w:val="0014336D"/>
    <w:rsid w:val="00147A4B"/>
    <w:rsid w:val="00152554"/>
    <w:rsid w:val="00155944"/>
    <w:rsid w:val="001559D7"/>
    <w:rsid w:val="0016523C"/>
    <w:rsid w:val="001671ED"/>
    <w:rsid w:val="00170714"/>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1C2C"/>
    <w:rsid w:val="001948FB"/>
    <w:rsid w:val="00195B55"/>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08A"/>
    <w:rsid w:val="00216C8A"/>
    <w:rsid w:val="00224E79"/>
    <w:rsid w:val="00226317"/>
    <w:rsid w:val="00231539"/>
    <w:rsid w:val="002322F2"/>
    <w:rsid w:val="00242093"/>
    <w:rsid w:val="00243F22"/>
    <w:rsid w:val="0024427C"/>
    <w:rsid w:val="002523E3"/>
    <w:rsid w:val="00252AD6"/>
    <w:rsid w:val="002542CE"/>
    <w:rsid w:val="00257A4E"/>
    <w:rsid w:val="0026006F"/>
    <w:rsid w:val="00266FA5"/>
    <w:rsid w:val="00276FBA"/>
    <w:rsid w:val="00277665"/>
    <w:rsid w:val="0027789E"/>
    <w:rsid w:val="002837AE"/>
    <w:rsid w:val="002920F4"/>
    <w:rsid w:val="002940F3"/>
    <w:rsid w:val="00295842"/>
    <w:rsid w:val="002A0A9E"/>
    <w:rsid w:val="002B3574"/>
    <w:rsid w:val="002B4862"/>
    <w:rsid w:val="002B6B74"/>
    <w:rsid w:val="002C6AE7"/>
    <w:rsid w:val="002D02AF"/>
    <w:rsid w:val="002D02EA"/>
    <w:rsid w:val="002D2D4B"/>
    <w:rsid w:val="002D3805"/>
    <w:rsid w:val="002D541F"/>
    <w:rsid w:val="002E66AE"/>
    <w:rsid w:val="002E7763"/>
    <w:rsid w:val="002F4C6F"/>
    <w:rsid w:val="002F5011"/>
    <w:rsid w:val="002F5842"/>
    <w:rsid w:val="002F7847"/>
    <w:rsid w:val="00306CB7"/>
    <w:rsid w:val="003111F5"/>
    <w:rsid w:val="00314D11"/>
    <w:rsid w:val="00316997"/>
    <w:rsid w:val="00317664"/>
    <w:rsid w:val="00317A8D"/>
    <w:rsid w:val="00336200"/>
    <w:rsid w:val="00337418"/>
    <w:rsid w:val="00351D83"/>
    <w:rsid w:val="00352197"/>
    <w:rsid w:val="00353E46"/>
    <w:rsid w:val="003576C4"/>
    <w:rsid w:val="0036277A"/>
    <w:rsid w:val="00366AB0"/>
    <w:rsid w:val="003700E8"/>
    <w:rsid w:val="0037437C"/>
    <w:rsid w:val="0038146B"/>
    <w:rsid w:val="0038340F"/>
    <w:rsid w:val="00384457"/>
    <w:rsid w:val="00384F24"/>
    <w:rsid w:val="00396C38"/>
    <w:rsid w:val="003A32B2"/>
    <w:rsid w:val="003A47DD"/>
    <w:rsid w:val="003A5F67"/>
    <w:rsid w:val="003A634F"/>
    <w:rsid w:val="003A75F5"/>
    <w:rsid w:val="003B14C1"/>
    <w:rsid w:val="003B2884"/>
    <w:rsid w:val="003B4991"/>
    <w:rsid w:val="003B588A"/>
    <w:rsid w:val="003B621D"/>
    <w:rsid w:val="003C34C3"/>
    <w:rsid w:val="003C4388"/>
    <w:rsid w:val="003C4C27"/>
    <w:rsid w:val="003C75BC"/>
    <w:rsid w:val="003C7F7B"/>
    <w:rsid w:val="003D0CD6"/>
    <w:rsid w:val="003D2EAA"/>
    <w:rsid w:val="003E054C"/>
    <w:rsid w:val="003E1EC5"/>
    <w:rsid w:val="003E27A0"/>
    <w:rsid w:val="003E3872"/>
    <w:rsid w:val="004044AA"/>
    <w:rsid w:val="004044C8"/>
    <w:rsid w:val="00404F3F"/>
    <w:rsid w:val="00410B5D"/>
    <w:rsid w:val="00413BEC"/>
    <w:rsid w:val="00421FA3"/>
    <w:rsid w:val="0042265E"/>
    <w:rsid w:val="00424ED7"/>
    <w:rsid w:val="00425258"/>
    <w:rsid w:val="00426217"/>
    <w:rsid w:val="00431A80"/>
    <w:rsid w:val="004325B4"/>
    <w:rsid w:val="00435A89"/>
    <w:rsid w:val="00452267"/>
    <w:rsid w:val="00453307"/>
    <w:rsid w:val="0045569F"/>
    <w:rsid w:val="00455A02"/>
    <w:rsid w:val="00457E36"/>
    <w:rsid w:val="00460BD3"/>
    <w:rsid w:val="00462F8F"/>
    <w:rsid w:val="004708F2"/>
    <w:rsid w:val="004724DE"/>
    <w:rsid w:val="004770FE"/>
    <w:rsid w:val="0048157F"/>
    <w:rsid w:val="00481D56"/>
    <w:rsid w:val="00490408"/>
    <w:rsid w:val="004A4C45"/>
    <w:rsid w:val="004B0485"/>
    <w:rsid w:val="004B428E"/>
    <w:rsid w:val="004B4D0A"/>
    <w:rsid w:val="004B4D37"/>
    <w:rsid w:val="004C42F0"/>
    <w:rsid w:val="004D50C8"/>
    <w:rsid w:val="004D6B72"/>
    <w:rsid w:val="004E1D73"/>
    <w:rsid w:val="004E72DD"/>
    <w:rsid w:val="004F24B4"/>
    <w:rsid w:val="005025FB"/>
    <w:rsid w:val="00503462"/>
    <w:rsid w:val="0051286E"/>
    <w:rsid w:val="00516021"/>
    <w:rsid w:val="00516457"/>
    <w:rsid w:val="00516641"/>
    <w:rsid w:val="0051729F"/>
    <w:rsid w:val="00520A0C"/>
    <w:rsid w:val="00521DFD"/>
    <w:rsid w:val="00525806"/>
    <w:rsid w:val="00530E37"/>
    <w:rsid w:val="00535946"/>
    <w:rsid w:val="005372CD"/>
    <w:rsid w:val="005452CF"/>
    <w:rsid w:val="005464A1"/>
    <w:rsid w:val="00546F12"/>
    <w:rsid w:val="0055339C"/>
    <w:rsid w:val="005542CC"/>
    <w:rsid w:val="00560424"/>
    <w:rsid w:val="00562B3C"/>
    <w:rsid w:val="0056302D"/>
    <w:rsid w:val="00564E40"/>
    <w:rsid w:val="0057132C"/>
    <w:rsid w:val="005731C3"/>
    <w:rsid w:val="005750E2"/>
    <w:rsid w:val="0058313F"/>
    <w:rsid w:val="00585859"/>
    <w:rsid w:val="00586FBC"/>
    <w:rsid w:val="005879C9"/>
    <w:rsid w:val="00594CAD"/>
    <w:rsid w:val="005A1ABE"/>
    <w:rsid w:val="005A1D0B"/>
    <w:rsid w:val="005A3C6B"/>
    <w:rsid w:val="005B1EA5"/>
    <w:rsid w:val="005C2BA3"/>
    <w:rsid w:val="005C54A0"/>
    <w:rsid w:val="005D0D15"/>
    <w:rsid w:val="005D147B"/>
    <w:rsid w:val="005D7176"/>
    <w:rsid w:val="005E18CB"/>
    <w:rsid w:val="005E1F24"/>
    <w:rsid w:val="005E2245"/>
    <w:rsid w:val="005E3667"/>
    <w:rsid w:val="005E73F1"/>
    <w:rsid w:val="005F07EF"/>
    <w:rsid w:val="005F16B6"/>
    <w:rsid w:val="005F5224"/>
    <w:rsid w:val="00600B2E"/>
    <w:rsid w:val="00601122"/>
    <w:rsid w:val="00606521"/>
    <w:rsid w:val="00607CEB"/>
    <w:rsid w:val="00613299"/>
    <w:rsid w:val="00613F1E"/>
    <w:rsid w:val="0061762D"/>
    <w:rsid w:val="00625083"/>
    <w:rsid w:val="00634238"/>
    <w:rsid w:val="00635FBC"/>
    <w:rsid w:val="00636B42"/>
    <w:rsid w:val="00637728"/>
    <w:rsid w:val="0064113A"/>
    <w:rsid w:val="0064167B"/>
    <w:rsid w:val="00644002"/>
    <w:rsid w:val="006458B1"/>
    <w:rsid w:val="00650529"/>
    <w:rsid w:val="00650BAB"/>
    <w:rsid w:val="00651737"/>
    <w:rsid w:val="006652DD"/>
    <w:rsid w:val="006671BF"/>
    <w:rsid w:val="00672A7D"/>
    <w:rsid w:val="00681416"/>
    <w:rsid w:val="00690466"/>
    <w:rsid w:val="006A06F5"/>
    <w:rsid w:val="006A0ED2"/>
    <w:rsid w:val="006B0A73"/>
    <w:rsid w:val="006B5A6B"/>
    <w:rsid w:val="006C0F82"/>
    <w:rsid w:val="006C25E8"/>
    <w:rsid w:val="006C332E"/>
    <w:rsid w:val="006C58CD"/>
    <w:rsid w:val="006C5901"/>
    <w:rsid w:val="006D00F1"/>
    <w:rsid w:val="006D377A"/>
    <w:rsid w:val="006D4222"/>
    <w:rsid w:val="006D6372"/>
    <w:rsid w:val="006D68C4"/>
    <w:rsid w:val="006D6E5C"/>
    <w:rsid w:val="006D6FC9"/>
    <w:rsid w:val="006E02AF"/>
    <w:rsid w:val="006E0786"/>
    <w:rsid w:val="006E6B4A"/>
    <w:rsid w:val="006E6C70"/>
    <w:rsid w:val="006E6E31"/>
    <w:rsid w:val="006E7449"/>
    <w:rsid w:val="006E7FB1"/>
    <w:rsid w:val="006F2604"/>
    <w:rsid w:val="006F5319"/>
    <w:rsid w:val="006F55FD"/>
    <w:rsid w:val="006F5D21"/>
    <w:rsid w:val="007109F6"/>
    <w:rsid w:val="00711BE3"/>
    <w:rsid w:val="00721B51"/>
    <w:rsid w:val="00724FA7"/>
    <w:rsid w:val="00725415"/>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77B8"/>
    <w:rsid w:val="00781713"/>
    <w:rsid w:val="00785285"/>
    <w:rsid w:val="0078529D"/>
    <w:rsid w:val="00785E77"/>
    <w:rsid w:val="00787DC1"/>
    <w:rsid w:val="00794070"/>
    <w:rsid w:val="007A63CA"/>
    <w:rsid w:val="007A713B"/>
    <w:rsid w:val="007A7DA0"/>
    <w:rsid w:val="007B0233"/>
    <w:rsid w:val="007B23E4"/>
    <w:rsid w:val="007B64E5"/>
    <w:rsid w:val="007C2F04"/>
    <w:rsid w:val="007F06E5"/>
    <w:rsid w:val="007F5B8B"/>
    <w:rsid w:val="00817E9A"/>
    <w:rsid w:val="00827786"/>
    <w:rsid w:val="00827BDA"/>
    <w:rsid w:val="00830D57"/>
    <w:rsid w:val="00831F00"/>
    <w:rsid w:val="00850CA0"/>
    <w:rsid w:val="00852A2F"/>
    <w:rsid w:val="008608EE"/>
    <w:rsid w:val="00860B07"/>
    <w:rsid w:val="008616F6"/>
    <w:rsid w:val="0086259C"/>
    <w:rsid w:val="008674ED"/>
    <w:rsid w:val="0087074C"/>
    <w:rsid w:val="00883F24"/>
    <w:rsid w:val="00897E1F"/>
    <w:rsid w:val="008A3E8E"/>
    <w:rsid w:val="008B2CB4"/>
    <w:rsid w:val="008B3D82"/>
    <w:rsid w:val="008B5503"/>
    <w:rsid w:val="008B6404"/>
    <w:rsid w:val="008C2C21"/>
    <w:rsid w:val="008C7DD3"/>
    <w:rsid w:val="008E000B"/>
    <w:rsid w:val="008E2926"/>
    <w:rsid w:val="008E35C6"/>
    <w:rsid w:val="008E3F49"/>
    <w:rsid w:val="008E7FBC"/>
    <w:rsid w:val="008F243B"/>
    <w:rsid w:val="008F4675"/>
    <w:rsid w:val="008F50FE"/>
    <w:rsid w:val="008F69CD"/>
    <w:rsid w:val="00901E60"/>
    <w:rsid w:val="00904A66"/>
    <w:rsid w:val="00905029"/>
    <w:rsid w:val="00913800"/>
    <w:rsid w:val="00921A3A"/>
    <w:rsid w:val="0092287F"/>
    <w:rsid w:val="0092495B"/>
    <w:rsid w:val="0092660E"/>
    <w:rsid w:val="00936519"/>
    <w:rsid w:val="00941DA3"/>
    <w:rsid w:val="00942C0C"/>
    <w:rsid w:val="00945BC3"/>
    <w:rsid w:val="00951711"/>
    <w:rsid w:val="009539E3"/>
    <w:rsid w:val="00954A5E"/>
    <w:rsid w:val="009551B2"/>
    <w:rsid w:val="0096022C"/>
    <w:rsid w:val="00964625"/>
    <w:rsid w:val="00980937"/>
    <w:rsid w:val="00981C1D"/>
    <w:rsid w:val="0099109C"/>
    <w:rsid w:val="009936DB"/>
    <w:rsid w:val="00993CFC"/>
    <w:rsid w:val="009A1DC2"/>
    <w:rsid w:val="009A5EEA"/>
    <w:rsid w:val="009B0906"/>
    <w:rsid w:val="009B0BCE"/>
    <w:rsid w:val="009B38F2"/>
    <w:rsid w:val="009B7433"/>
    <w:rsid w:val="009C0914"/>
    <w:rsid w:val="009C27E5"/>
    <w:rsid w:val="009D24A1"/>
    <w:rsid w:val="009D3891"/>
    <w:rsid w:val="009D71E8"/>
    <w:rsid w:val="009E104B"/>
    <w:rsid w:val="009E7DE4"/>
    <w:rsid w:val="009F3BBD"/>
    <w:rsid w:val="009F69F3"/>
    <w:rsid w:val="00A022AB"/>
    <w:rsid w:val="00A063DD"/>
    <w:rsid w:val="00A112B5"/>
    <w:rsid w:val="00A14EEA"/>
    <w:rsid w:val="00A24968"/>
    <w:rsid w:val="00A33636"/>
    <w:rsid w:val="00A37C09"/>
    <w:rsid w:val="00A44FBB"/>
    <w:rsid w:val="00A50104"/>
    <w:rsid w:val="00A522E0"/>
    <w:rsid w:val="00A52823"/>
    <w:rsid w:val="00A63579"/>
    <w:rsid w:val="00A638AC"/>
    <w:rsid w:val="00A64475"/>
    <w:rsid w:val="00A727E5"/>
    <w:rsid w:val="00A748B5"/>
    <w:rsid w:val="00A80A32"/>
    <w:rsid w:val="00A82A98"/>
    <w:rsid w:val="00A82D16"/>
    <w:rsid w:val="00A852F2"/>
    <w:rsid w:val="00A8712A"/>
    <w:rsid w:val="00A95F75"/>
    <w:rsid w:val="00A968DA"/>
    <w:rsid w:val="00A96B83"/>
    <w:rsid w:val="00AA355B"/>
    <w:rsid w:val="00AA42E5"/>
    <w:rsid w:val="00AB24FA"/>
    <w:rsid w:val="00AD3C32"/>
    <w:rsid w:val="00AD6567"/>
    <w:rsid w:val="00AD7B5A"/>
    <w:rsid w:val="00AE229F"/>
    <w:rsid w:val="00AF5E20"/>
    <w:rsid w:val="00B002FA"/>
    <w:rsid w:val="00B00327"/>
    <w:rsid w:val="00B024B3"/>
    <w:rsid w:val="00B11DE8"/>
    <w:rsid w:val="00B179ED"/>
    <w:rsid w:val="00B20E18"/>
    <w:rsid w:val="00B331E1"/>
    <w:rsid w:val="00B33AA6"/>
    <w:rsid w:val="00B45BF7"/>
    <w:rsid w:val="00B572C4"/>
    <w:rsid w:val="00B60858"/>
    <w:rsid w:val="00B73CBE"/>
    <w:rsid w:val="00B74D4E"/>
    <w:rsid w:val="00B80219"/>
    <w:rsid w:val="00B87184"/>
    <w:rsid w:val="00B91453"/>
    <w:rsid w:val="00BA19A5"/>
    <w:rsid w:val="00BC078B"/>
    <w:rsid w:val="00BC13F0"/>
    <w:rsid w:val="00BC3A7D"/>
    <w:rsid w:val="00BC67F6"/>
    <w:rsid w:val="00BD2004"/>
    <w:rsid w:val="00BD4B12"/>
    <w:rsid w:val="00BD6248"/>
    <w:rsid w:val="00BD700D"/>
    <w:rsid w:val="00BE2F92"/>
    <w:rsid w:val="00BE44AC"/>
    <w:rsid w:val="00BF0D5F"/>
    <w:rsid w:val="00BF59B3"/>
    <w:rsid w:val="00BF6F95"/>
    <w:rsid w:val="00C10BCF"/>
    <w:rsid w:val="00C11EB4"/>
    <w:rsid w:val="00C12746"/>
    <w:rsid w:val="00C23C11"/>
    <w:rsid w:val="00C25827"/>
    <w:rsid w:val="00C31BB8"/>
    <w:rsid w:val="00C373EA"/>
    <w:rsid w:val="00C4350A"/>
    <w:rsid w:val="00C43CA3"/>
    <w:rsid w:val="00C43D9D"/>
    <w:rsid w:val="00C43EA4"/>
    <w:rsid w:val="00C50040"/>
    <w:rsid w:val="00C50302"/>
    <w:rsid w:val="00C52DFF"/>
    <w:rsid w:val="00C578CA"/>
    <w:rsid w:val="00C61F18"/>
    <w:rsid w:val="00C621C1"/>
    <w:rsid w:val="00C62989"/>
    <w:rsid w:val="00C65CBB"/>
    <w:rsid w:val="00C74684"/>
    <w:rsid w:val="00C77FEF"/>
    <w:rsid w:val="00C80F37"/>
    <w:rsid w:val="00C83659"/>
    <w:rsid w:val="00C90752"/>
    <w:rsid w:val="00C9459D"/>
    <w:rsid w:val="00C97A7F"/>
    <w:rsid w:val="00CA4421"/>
    <w:rsid w:val="00CA5363"/>
    <w:rsid w:val="00CA7D07"/>
    <w:rsid w:val="00CB24A4"/>
    <w:rsid w:val="00CB5B17"/>
    <w:rsid w:val="00CC4443"/>
    <w:rsid w:val="00CC5CAF"/>
    <w:rsid w:val="00D06874"/>
    <w:rsid w:val="00D07530"/>
    <w:rsid w:val="00D173F7"/>
    <w:rsid w:val="00D20203"/>
    <w:rsid w:val="00D204E0"/>
    <w:rsid w:val="00D21354"/>
    <w:rsid w:val="00D22400"/>
    <w:rsid w:val="00D23F4A"/>
    <w:rsid w:val="00D264E2"/>
    <w:rsid w:val="00D278BA"/>
    <w:rsid w:val="00D33FE5"/>
    <w:rsid w:val="00D348C0"/>
    <w:rsid w:val="00D3578A"/>
    <w:rsid w:val="00D43A15"/>
    <w:rsid w:val="00D4463C"/>
    <w:rsid w:val="00D501EE"/>
    <w:rsid w:val="00D517DC"/>
    <w:rsid w:val="00D5360D"/>
    <w:rsid w:val="00D5590D"/>
    <w:rsid w:val="00D618E4"/>
    <w:rsid w:val="00D61DA5"/>
    <w:rsid w:val="00D61EC4"/>
    <w:rsid w:val="00D642A3"/>
    <w:rsid w:val="00D71B8A"/>
    <w:rsid w:val="00D72C08"/>
    <w:rsid w:val="00D81325"/>
    <w:rsid w:val="00D875ED"/>
    <w:rsid w:val="00D877D0"/>
    <w:rsid w:val="00D90013"/>
    <w:rsid w:val="00D91B9C"/>
    <w:rsid w:val="00D92C1B"/>
    <w:rsid w:val="00D94CC7"/>
    <w:rsid w:val="00DA1AF4"/>
    <w:rsid w:val="00DB0C60"/>
    <w:rsid w:val="00DC641A"/>
    <w:rsid w:val="00DD21A1"/>
    <w:rsid w:val="00DD6B7D"/>
    <w:rsid w:val="00DD6E14"/>
    <w:rsid w:val="00DE15AC"/>
    <w:rsid w:val="00DF2015"/>
    <w:rsid w:val="00E061EC"/>
    <w:rsid w:val="00E10E81"/>
    <w:rsid w:val="00E13E51"/>
    <w:rsid w:val="00E21F56"/>
    <w:rsid w:val="00E3014F"/>
    <w:rsid w:val="00E37588"/>
    <w:rsid w:val="00E4286E"/>
    <w:rsid w:val="00E43EAD"/>
    <w:rsid w:val="00E45FC0"/>
    <w:rsid w:val="00E54257"/>
    <w:rsid w:val="00E62DCB"/>
    <w:rsid w:val="00E651DD"/>
    <w:rsid w:val="00E65A94"/>
    <w:rsid w:val="00E66558"/>
    <w:rsid w:val="00E70D81"/>
    <w:rsid w:val="00E726A6"/>
    <w:rsid w:val="00E73418"/>
    <w:rsid w:val="00E7369E"/>
    <w:rsid w:val="00E8109E"/>
    <w:rsid w:val="00E86F05"/>
    <w:rsid w:val="00EA0EFE"/>
    <w:rsid w:val="00EA3A2A"/>
    <w:rsid w:val="00EA59E4"/>
    <w:rsid w:val="00EB2887"/>
    <w:rsid w:val="00EB4556"/>
    <w:rsid w:val="00EB64C8"/>
    <w:rsid w:val="00EC081D"/>
    <w:rsid w:val="00EC73D2"/>
    <w:rsid w:val="00ED3911"/>
    <w:rsid w:val="00ED4136"/>
    <w:rsid w:val="00ED5108"/>
    <w:rsid w:val="00ED6AE8"/>
    <w:rsid w:val="00EE1760"/>
    <w:rsid w:val="00EE2CB2"/>
    <w:rsid w:val="00F012CA"/>
    <w:rsid w:val="00F01407"/>
    <w:rsid w:val="00F01752"/>
    <w:rsid w:val="00F017D2"/>
    <w:rsid w:val="00F0355A"/>
    <w:rsid w:val="00F04D09"/>
    <w:rsid w:val="00F04D58"/>
    <w:rsid w:val="00F05C44"/>
    <w:rsid w:val="00F15753"/>
    <w:rsid w:val="00F21F92"/>
    <w:rsid w:val="00F24A7E"/>
    <w:rsid w:val="00F32ABA"/>
    <w:rsid w:val="00F33DC0"/>
    <w:rsid w:val="00F33F28"/>
    <w:rsid w:val="00F35A40"/>
    <w:rsid w:val="00F35FDE"/>
    <w:rsid w:val="00F40DE1"/>
    <w:rsid w:val="00F4142A"/>
    <w:rsid w:val="00F61CD3"/>
    <w:rsid w:val="00F62587"/>
    <w:rsid w:val="00F631A6"/>
    <w:rsid w:val="00F63E9E"/>
    <w:rsid w:val="00F66AA7"/>
    <w:rsid w:val="00F66D25"/>
    <w:rsid w:val="00F75603"/>
    <w:rsid w:val="00F76843"/>
    <w:rsid w:val="00F776E1"/>
    <w:rsid w:val="00F925EB"/>
    <w:rsid w:val="00F97033"/>
    <w:rsid w:val="00F97FAF"/>
    <w:rsid w:val="00FA0726"/>
    <w:rsid w:val="00FA6DD0"/>
    <w:rsid w:val="00FC28DF"/>
    <w:rsid w:val="00FC4E27"/>
    <w:rsid w:val="00FC5E79"/>
    <w:rsid w:val="00FD2297"/>
    <w:rsid w:val="00FD6AC6"/>
    <w:rsid w:val="00FE3136"/>
    <w:rsid w:val="00FE50A3"/>
    <w:rsid w:val="00FE5204"/>
    <w:rsid w:val="00FE604C"/>
    <w:rsid w:val="00FF369D"/>
    <w:rsid w:val="00FF6FB0"/>
    <w:rsid w:val="00FF79A8"/>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726C435"/>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styleId="Strong">
    <w:name w:val="Strong"/>
    <w:basedOn w:val="DefaultParagraphFont"/>
    <w:uiPriority w:val="22"/>
    <w:qFormat/>
    <w:rsid w:val="00636B42"/>
    <w:rPr>
      <w:b/>
      <w:bCs/>
    </w:rPr>
  </w:style>
  <w:style w:type="paragraph" w:styleId="NoSpacing">
    <w:name w:val="No Spacing"/>
    <w:uiPriority w:val="1"/>
    <w:qFormat/>
    <w:rsid w:val="006E6C70"/>
    <w:pPr>
      <w:suppressAutoHyphens/>
    </w:pPr>
    <w:rPr>
      <w:color w:val="0D0D0D"/>
      <w:sz w:val="24"/>
      <w:szCs w:val="24"/>
    </w:rPr>
  </w:style>
  <w:style w:type="paragraph" w:styleId="NormalWeb">
    <w:name w:val="Normal (Web)"/>
    <w:basedOn w:val="Normal"/>
    <w:uiPriority w:val="99"/>
    <w:unhideWhenUsed/>
    <w:rsid w:val="0026006F"/>
    <w:pPr>
      <w:suppressAutoHyphens w:val="0"/>
      <w:autoSpaceDN/>
      <w:spacing w:before="100" w:beforeAutospacing="1" w:after="100" w:afterAutospacing="1" w:line="240" w:lineRule="auto"/>
    </w:pPr>
    <w:rPr>
      <w:rFonts w:ascii="Times New Roman" w:hAnsi="Times New Roman"/>
      <w:color w:val="auto"/>
    </w:rPr>
  </w:style>
  <w:style w:type="character" w:styleId="Emphasis">
    <w:name w:val="Emphasis"/>
    <w:basedOn w:val="DefaultParagraphFont"/>
    <w:uiPriority w:val="20"/>
    <w:qFormat/>
    <w:rsid w:val="00E375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968">
      <w:bodyDiv w:val="1"/>
      <w:marLeft w:val="0"/>
      <w:marRight w:val="0"/>
      <w:marTop w:val="0"/>
      <w:marBottom w:val="0"/>
      <w:divBdr>
        <w:top w:val="none" w:sz="0" w:space="0" w:color="auto"/>
        <w:left w:val="none" w:sz="0" w:space="0" w:color="auto"/>
        <w:bottom w:val="none" w:sz="0" w:space="0" w:color="auto"/>
        <w:right w:val="none" w:sz="0" w:space="0" w:color="auto"/>
      </w:divBdr>
    </w:div>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81605005">
      <w:bodyDiv w:val="1"/>
      <w:marLeft w:val="0"/>
      <w:marRight w:val="0"/>
      <w:marTop w:val="0"/>
      <w:marBottom w:val="0"/>
      <w:divBdr>
        <w:top w:val="none" w:sz="0" w:space="0" w:color="auto"/>
        <w:left w:val="none" w:sz="0" w:space="0" w:color="auto"/>
        <w:bottom w:val="none" w:sz="0" w:space="0" w:color="auto"/>
        <w:right w:val="none" w:sz="0" w:space="0" w:color="auto"/>
      </w:divBdr>
    </w:div>
    <w:div w:id="295259039">
      <w:bodyDiv w:val="1"/>
      <w:marLeft w:val="0"/>
      <w:marRight w:val="0"/>
      <w:marTop w:val="0"/>
      <w:marBottom w:val="0"/>
      <w:divBdr>
        <w:top w:val="none" w:sz="0" w:space="0" w:color="auto"/>
        <w:left w:val="none" w:sz="0" w:space="0" w:color="auto"/>
        <w:bottom w:val="none" w:sz="0" w:space="0" w:color="auto"/>
        <w:right w:val="none" w:sz="0" w:space="0" w:color="auto"/>
      </w:divBdr>
    </w:div>
    <w:div w:id="408507547">
      <w:bodyDiv w:val="1"/>
      <w:marLeft w:val="0"/>
      <w:marRight w:val="0"/>
      <w:marTop w:val="0"/>
      <w:marBottom w:val="0"/>
      <w:divBdr>
        <w:top w:val="none" w:sz="0" w:space="0" w:color="auto"/>
        <w:left w:val="none" w:sz="0" w:space="0" w:color="auto"/>
        <w:bottom w:val="none" w:sz="0" w:space="0" w:color="auto"/>
        <w:right w:val="none" w:sz="0" w:space="0" w:color="auto"/>
      </w:divBdr>
    </w:div>
    <w:div w:id="492599007">
      <w:bodyDiv w:val="1"/>
      <w:marLeft w:val="0"/>
      <w:marRight w:val="0"/>
      <w:marTop w:val="0"/>
      <w:marBottom w:val="0"/>
      <w:divBdr>
        <w:top w:val="none" w:sz="0" w:space="0" w:color="auto"/>
        <w:left w:val="none" w:sz="0" w:space="0" w:color="auto"/>
        <w:bottom w:val="none" w:sz="0" w:space="0" w:color="auto"/>
        <w:right w:val="none" w:sz="0" w:space="0" w:color="auto"/>
      </w:divBdr>
    </w:div>
    <w:div w:id="563418037">
      <w:bodyDiv w:val="1"/>
      <w:marLeft w:val="0"/>
      <w:marRight w:val="0"/>
      <w:marTop w:val="0"/>
      <w:marBottom w:val="0"/>
      <w:divBdr>
        <w:top w:val="none" w:sz="0" w:space="0" w:color="auto"/>
        <w:left w:val="none" w:sz="0" w:space="0" w:color="auto"/>
        <w:bottom w:val="none" w:sz="0" w:space="0" w:color="auto"/>
        <w:right w:val="none" w:sz="0" w:space="0" w:color="auto"/>
      </w:divBdr>
    </w:div>
    <w:div w:id="650058808">
      <w:bodyDiv w:val="1"/>
      <w:marLeft w:val="0"/>
      <w:marRight w:val="0"/>
      <w:marTop w:val="0"/>
      <w:marBottom w:val="0"/>
      <w:divBdr>
        <w:top w:val="none" w:sz="0" w:space="0" w:color="auto"/>
        <w:left w:val="none" w:sz="0" w:space="0" w:color="auto"/>
        <w:bottom w:val="none" w:sz="0" w:space="0" w:color="auto"/>
        <w:right w:val="none" w:sz="0" w:space="0" w:color="auto"/>
      </w:divBdr>
    </w:div>
    <w:div w:id="698118200">
      <w:bodyDiv w:val="1"/>
      <w:marLeft w:val="0"/>
      <w:marRight w:val="0"/>
      <w:marTop w:val="0"/>
      <w:marBottom w:val="0"/>
      <w:divBdr>
        <w:top w:val="none" w:sz="0" w:space="0" w:color="auto"/>
        <w:left w:val="none" w:sz="0" w:space="0" w:color="auto"/>
        <w:bottom w:val="none" w:sz="0" w:space="0" w:color="auto"/>
        <w:right w:val="none" w:sz="0" w:space="0" w:color="auto"/>
      </w:divBdr>
    </w:div>
    <w:div w:id="798299015">
      <w:bodyDiv w:val="1"/>
      <w:marLeft w:val="0"/>
      <w:marRight w:val="0"/>
      <w:marTop w:val="0"/>
      <w:marBottom w:val="0"/>
      <w:divBdr>
        <w:top w:val="none" w:sz="0" w:space="0" w:color="auto"/>
        <w:left w:val="none" w:sz="0" w:space="0" w:color="auto"/>
        <w:bottom w:val="none" w:sz="0" w:space="0" w:color="auto"/>
        <w:right w:val="none" w:sz="0" w:space="0" w:color="auto"/>
      </w:divBdr>
    </w:div>
    <w:div w:id="807475904">
      <w:bodyDiv w:val="1"/>
      <w:marLeft w:val="0"/>
      <w:marRight w:val="0"/>
      <w:marTop w:val="0"/>
      <w:marBottom w:val="0"/>
      <w:divBdr>
        <w:top w:val="none" w:sz="0" w:space="0" w:color="auto"/>
        <w:left w:val="none" w:sz="0" w:space="0" w:color="auto"/>
        <w:bottom w:val="none" w:sz="0" w:space="0" w:color="auto"/>
        <w:right w:val="none" w:sz="0" w:space="0" w:color="auto"/>
      </w:divBdr>
    </w:div>
    <w:div w:id="851840122">
      <w:bodyDiv w:val="1"/>
      <w:marLeft w:val="0"/>
      <w:marRight w:val="0"/>
      <w:marTop w:val="0"/>
      <w:marBottom w:val="0"/>
      <w:divBdr>
        <w:top w:val="none" w:sz="0" w:space="0" w:color="auto"/>
        <w:left w:val="none" w:sz="0" w:space="0" w:color="auto"/>
        <w:bottom w:val="none" w:sz="0" w:space="0" w:color="auto"/>
        <w:right w:val="none" w:sz="0" w:space="0" w:color="auto"/>
      </w:divBdr>
    </w:div>
    <w:div w:id="856845027">
      <w:bodyDiv w:val="1"/>
      <w:marLeft w:val="0"/>
      <w:marRight w:val="0"/>
      <w:marTop w:val="0"/>
      <w:marBottom w:val="0"/>
      <w:divBdr>
        <w:top w:val="none" w:sz="0" w:space="0" w:color="auto"/>
        <w:left w:val="none" w:sz="0" w:space="0" w:color="auto"/>
        <w:bottom w:val="none" w:sz="0" w:space="0" w:color="auto"/>
        <w:right w:val="none" w:sz="0" w:space="0" w:color="auto"/>
      </w:divBdr>
    </w:div>
    <w:div w:id="1064258962">
      <w:bodyDiv w:val="1"/>
      <w:marLeft w:val="0"/>
      <w:marRight w:val="0"/>
      <w:marTop w:val="0"/>
      <w:marBottom w:val="0"/>
      <w:divBdr>
        <w:top w:val="none" w:sz="0" w:space="0" w:color="auto"/>
        <w:left w:val="none" w:sz="0" w:space="0" w:color="auto"/>
        <w:bottom w:val="none" w:sz="0" w:space="0" w:color="auto"/>
        <w:right w:val="none" w:sz="0" w:space="0" w:color="auto"/>
      </w:divBdr>
    </w:div>
    <w:div w:id="1066952781">
      <w:bodyDiv w:val="1"/>
      <w:marLeft w:val="0"/>
      <w:marRight w:val="0"/>
      <w:marTop w:val="0"/>
      <w:marBottom w:val="0"/>
      <w:divBdr>
        <w:top w:val="none" w:sz="0" w:space="0" w:color="auto"/>
        <w:left w:val="none" w:sz="0" w:space="0" w:color="auto"/>
        <w:bottom w:val="none" w:sz="0" w:space="0" w:color="auto"/>
        <w:right w:val="none" w:sz="0" w:space="0" w:color="auto"/>
      </w:divBdr>
    </w:div>
    <w:div w:id="1070079294">
      <w:bodyDiv w:val="1"/>
      <w:marLeft w:val="0"/>
      <w:marRight w:val="0"/>
      <w:marTop w:val="0"/>
      <w:marBottom w:val="0"/>
      <w:divBdr>
        <w:top w:val="none" w:sz="0" w:space="0" w:color="auto"/>
        <w:left w:val="none" w:sz="0" w:space="0" w:color="auto"/>
        <w:bottom w:val="none" w:sz="0" w:space="0" w:color="auto"/>
        <w:right w:val="none" w:sz="0" w:space="0" w:color="auto"/>
      </w:divBdr>
    </w:div>
    <w:div w:id="1087574782">
      <w:bodyDiv w:val="1"/>
      <w:marLeft w:val="0"/>
      <w:marRight w:val="0"/>
      <w:marTop w:val="0"/>
      <w:marBottom w:val="0"/>
      <w:divBdr>
        <w:top w:val="none" w:sz="0" w:space="0" w:color="auto"/>
        <w:left w:val="none" w:sz="0" w:space="0" w:color="auto"/>
        <w:bottom w:val="none" w:sz="0" w:space="0" w:color="auto"/>
        <w:right w:val="none" w:sz="0" w:space="0" w:color="auto"/>
      </w:divBdr>
    </w:div>
    <w:div w:id="1270964734">
      <w:bodyDiv w:val="1"/>
      <w:marLeft w:val="0"/>
      <w:marRight w:val="0"/>
      <w:marTop w:val="0"/>
      <w:marBottom w:val="0"/>
      <w:divBdr>
        <w:top w:val="none" w:sz="0" w:space="0" w:color="auto"/>
        <w:left w:val="none" w:sz="0" w:space="0" w:color="auto"/>
        <w:bottom w:val="none" w:sz="0" w:space="0" w:color="auto"/>
        <w:right w:val="none" w:sz="0" w:space="0" w:color="auto"/>
      </w:divBdr>
    </w:div>
    <w:div w:id="1352685251">
      <w:bodyDiv w:val="1"/>
      <w:marLeft w:val="0"/>
      <w:marRight w:val="0"/>
      <w:marTop w:val="0"/>
      <w:marBottom w:val="0"/>
      <w:divBdr>
        <w:top w:val="none" w:sz="0" w:space="0" w:color="auto"/>
        <w:left w:val="none" w:sz="0" w:space="0" w:color="auto"/>
        <w:bottom w:val="none" w:sz="0" w:space="0" w:color="auto"/>
        <w:right w:val="none" w:sz="0" w:space="0" w:color="auto"/>
      </w:divBdr>
    </w:div>
    <w:div w:id="1439790640">
      <w:bodyDiv w:val="1"/>
      <w:marLeft w:val="0"/>
      <w:marRight w:val="0"/>
      <w:marTop w:val="0"/>
      <w:marBottom w:val="0"/>
      <w:divBdr>
        <w:top w:val="none" w:sz="0" w:space="0" w:color="auto"/>
        <w:left w:val="none" w:sz="0" w:space="0" w:color="auto"/>
        <w:bottom w:val="none" w:sz="0" w:space="0" w:color="auto"/>
        <w:right w:val="none" w:sz="0" w:space="0" w:color="auto"/>
      </w:divBdr>
    </w:div>
    <w:div w:id="1465662811">
      <w:bodyDiv w:val="1"/>
      <w:marLeft w:val="0"/>
      <w:marRight w:val="0"/>
      <w:marTop w:val="0"/>
      <w:marBottom w:val="0"/>
      <w:divBdr>
        <w:top w:val="none" w:sz="0" w:space="0" w:color="auto"/>
        <w:left w:val="none" w:sz="0" w:space="0" w:color="auto"/>
        <w:bottom w:val="none" w:sz="0" w:space="0" w:color="auto"/>
        <w:right w:val="none" w:sz="0" w:space="0" w:color="auto"/>
      </w:divBdr>
    </w:div>
    <w:div w:id="1514031221">
      <w:bodyDiv w:val="1"/>
      <w:marLeft w:val="0"/>
      <w:marRight w:val="0"/>
      <w:marTop w:val="0"/>
      <w:marBottom w:val="0"/>
      <w:divBdr>
        <w:top w:val="none" w:sz="0" w:space="0" w:color="auto"/>
        <w:left w:val="none" w:sz="0" w:space="0" w:color="auto"/>
        <w:bottom w:val="none" w:sz="0" w:space="0" w:color="auto"/>
        <w:right w:val="none" w:sz="0" w:space="0" w:color="auto"/>
      </w:divBdr>
    </w:div>
    <w:div w:id="1602183074">
      <w:bodyDiv w:val="1"/>
      <w:marLeft w:val="0"/>
      <w:marRight w:val="0"/>
      <w:marTop w:val="0"/>
      <w:marBottom w:val="0"/>
      <w:divBdr>
        <w:top w:val="none" w:sz="0" w:space="0" w:color="auto"/>
        <w:left w:val="none" w:sz="0" w:space="0" w:color="auto"/>
        <w:bottom w:val="none" w:sz="0" w:space="0" w:color="auto"/>
        <w:right w:val="none" w:sz="0" w:space="0" w:color="auto"/>
      </w:divBdr>
    </w:div>
    <w:div w:id="1698193373">
      <w:bodyDiv w:val="1"/>
      <w:marLeft w:val="0"/>
      <w:marRight w:val="0"/>
      <w:marTop w:val="0"/>
      <w:marBottom w:val="0"/>
      <w:divBdr>
        <w:top w:val="none" w:sz="0" w:space="0" w:color="auto"/>
        <w:left w:val="none" w:sz="0" w:space="0" w:color="auto"/>
        <w:bottom w:val="none" w:sz="0" w:space="0" w:color="auto"/>
        <w:right w:val="none" w:sz="0" w:space="0" w:color="auto"/>
      </w:divBdr>
    </w:div>
    <w:div w:id="1698627720">
      <w:bodyDiv w:val="1"/>
      <w:marLeft w:val="0"/>
      <w:marRight w:val="0"/>
      <w:marTop w:val="0"/>
      <w:marBottom w:val="0"/>
      <w:divBdr>
        <w:top w:val="none" w:sz="0" w:space="0" w:color="auto"/>
        <w:left w:val="none" w:sz="0" w:space="0" w:color="auto"/>
        <w:bottom w:val="none" w:sz="0" w:space="0" w:color="auto"/>
        <w:right w:val="none" w:sz="0" w:space="0" w:color="auto"/>
      </w:divBdr>
    </w:div>
    <w:div w:id="1881935797">
      <w:bodyDiv w:val="1"/>
      <w:marLeft w:val="0"/>
      <w:marRight w:val="0"/>
      <w:marTop w:val="0"/>
      <w:marBottom w:val="0"/>
      <w:divBdr>
        <w:top w:val="none" w:sz="0" w:space="0" w:color="auto"/>
        <w:left w:val="none" w:sz="0" w:space="0" w:color="auto"/>
        <w:bottom w:val="none" w:sz="0" w:space="0" w:color="auto"/>
        <w:right w:val="none" w:sz="0" w:space="0" w:color="auto"/>
      </w:divBdr>
    </w:div>
    <w:div w:id="1920359371">
      <w:bodyDiv w:val="1"/>
      <w:marLeft w:val="0"/>
      <w:marRight w:val="0"/>
      <w:marTop w:val="0"/>
      <w:marBottom w:val="0"/>
      <w:divBdr>
        <w:top w:val="none" w:sz="0" w:space="0" w:color="auto"/>
        <w:left w:val="none" w:sz="0" w:space="0" w:color="auto"/>
        <w:bottom w:val="none" w:sz="0" w:space="0" w:color="auto"/>
        <w:right w:val="none" w:sz="0" w:space="0" w:color="auto"/>
      </w:divBdr>
    </w:div>
    <w:div w:id="1999576797">
      <w:bodyDiv w:val="1"/>
      <w:marLeft w:val="0"/>
      <w:marRight w:val="0"/>
      <w:marTop w:val="0"/>
      <w:marBottom w:val="0"/>
      <w:divBdr>
        <w:top w:val="none" w:sz="0" w:space="0" w:color="auto"/>
        <w:left w:val="none" w:sz="0" w:space="0" w:color="auto"/>
        <w:bottom w:val="none" w:sz="0" w:space="0" w:color="auto"/>
        <w:right w:val="none" w:sz="0" w:space="0" w:color="auto"/>
      </w:divBdr>
    </w:div>
    <w:div w:id="2018845165">
      <w:bodyDiv w:val="1"/>
      <w:marLeft w:val="0"/>
      <w:marRight w:val="0"/>
      <w:marTop w:val="0"/>
      <w:marBottom w:val="0"/>
      <w:divBdr>
        <w:top w:val="none" w:sz="0" w:space="0" w:color="auto"/>
        <w:left w:val="none" w:sz="0" w:space="0" w:color="auto"/>
        <w:bottom w:val="none" w:sz="0" w:space="0" w:color="auto"/>
        <w:right w:val="none" w:sz="0" w:space="0" w:color="auto"/>
      </w:divBdr>
    </w:div>
    <w:div w:id="2045708668">
      <w:bodyDiv w:val="1"/>
      <w:marLeft w:val="0"/>
      <w:marRight w:val="0"/>
      <w:marTop w:val="0"/>
      <w:marBottom w:val="0"/>
      <w:divBdr>
        <w:top w:val="none" w:sz="0" w:space="0" w:color="auto"/>
        <w:left w:val="none" w:sz="0" w:space="0" w:color="auto"/>
        <w:bottom w:val="none" w:sz="0" w:space="0" w:color="auto"/>
        <w:right w:val="none" w:sz="0" w:space="0" w:color="auto"/>
      </w:divBdr>
    </w:div>
    <w:div w:id="2091927823">
      <w:bodyDiv w:val="1"/>
      <w:marLeft w:val="0"/>
      <w:marRight w:val="0"/>
      <w:marTop w:val="0"/>
      <w:marBottom w:val="0"/>
      <w:divBdr>
        <w:top w:val="none" w:sz="0" w:space="0" w:color="auto"/>
        <w:left w:val="none" w:sz="0" w:space="0" w:color="auto"/>
        <w:bottom w:val="none" w:sz="0" w:space="0" w:color="auto"/>
        <w:right w:val="none" w:sz="0" w:space="0" w:color="auto"/>
      </w:divBdr>
    </w:div>
    <w:div w:id="2092921661">
      <w:bodyDiv w:val="1"/>
      <w:marLeft w:val="0"/>
      <w:marRight w:val="0"/>
      <w:marTop w:val="0"/>
      <w:marBottom w:val="0"/>
      <w:divBdr>
        <w:top w:val="none" w:sz="0" w:space="0" w:color="auto"/>
        <w:left w:val="none" w:sz="0" w:space="0" w:color="auto"/>
        <w:bottom w:val="none" w:sz="0" w:space="0" w:color="auto"/>
        <w:right w:val="none" w:sz="0" w:space="0" w:color="auto"/>
      </w:divBdr>
      <w:divsChild>
        <w:div w:id="486166643">
          <w:marLeft w:val="0"/>
          <w:marRight w:val="0"/>
          <w:marTop w:val="0"/>
          <w:marBottom w:val="0"/>
          <w:divBdr>
            <w:top w:val="none" w:sz="0" w:space="0" w:color="auto"/>
            <w:left w:val="none" w:sz="0" w:space="0" w:color="auto"/>
            <w:bottom w:val="none" w:sz="0" w:space="0" w:color="auto"/>
            <w:right w:val="none" w:sz="0" w:space="0" w:color="auto"/>
          </w:divBdr>
          <w:divsChild>
            <w:div w:id="1296834466">
              <w:marLeft w:val="0"/>
              <w:marRight w:val="0"/>
              <w:marTop w:val="0"/>
              <w:marBottom w:val="0"/>
              <w:divBdr>
                <w:top w:val="none" w:sz="0" w:space="0" w:color="auto"/>
                <w:left w:val="none" w:sz="0" w:space="0" w:color="auto"/>
                <w:bottom w:val="none" w:sz="0" w:space="0" w:color="auto"/>
                <w:right w:val="none" w:sz="0" w:space="0" w:color="auto"/>
              </w:divBdr>
              <w:divsChild>
                <w:div w:id="439572551">
                  <w:marLeft w:val="0"/>
                  <w:marRight w:val="0"/>
                  <w:marTop w:val="0"/>
                  <w:marBottom w:val="0"/>
                  <w:divBdr>
                    <w:top w:val="none" w:sz="0" w:space="0" w:color="auto"/>
                    <w:left w:val="none" w:sz="0" w:space="0" w:color="auto"/>
                    <w:bottom w:val="none" w:sz="0" w:space="0" w:color="auto"/>
                    <w:right w:val="none" w:sz="0" w:space="0" w:color="auto"/>
                  </w:divBdr>
                  <w:divsChild>
                    <w:div w:id="1669284599">
                      <w:marLeft w:val="0"/>
                      <w:marRight w:val="0"/>
                      <w:marTop w:val="0"/>
                      <w:marBottom w:val="0"/>
                      <w:divBdr>
                        <w:top w:val="none" w:sz="0" w:space="0" w:color="auto"/>
                        <w:left w:val="none" w:sz="0" w:space="0" w:color="auto"/>
                        <w:bottom w:val="none" w:sz="0" w:space="0" w:color="auto"/>
                        <w:right w:val="none" w:sz="0" w:space="0" w:color="auto"/>
                      </w:divBdr>
                      <w:divsChild>
                        <w:div w:id="595015439">
                          <w:marLeft w:val="0"/>
                          <w:marRight w:val="0"/>
                          <w:marTop w:val="0"/>
                          <w:marBottom w:val="0"/>
                          <w:divBdr>
                            <w:top w:val="none" w:sz="0" w:space="0" w:color="auto"/>
                            <w:left w:val="none" w:sz="0" w:space="0" w:color="auto"/>
                            <w:bottom w:val="none" w:sz="0" w:space="0" w:color="auto"/>
                            <w:right w:val="none" w:sz="0" w:space="0" w:color="auto"/>
                          </w:divBdr>
                          <w:divsChild>
                            <w:div w:id="241063306">
                              <w:marLeft w:val="0"/>
                              <w:marRight w:val="0"/>
                              <w:marTop w:val="0"/>
                              <w:marBottom w:val="0"/>
                              <w:divBdr>
                                <w:top w:val="none" w:sz="0" w:space="0" w:color="auto"/>
                                <w:left w:val="none" w:sz="0" w:space="0" w:color="auto"/>
                                <w:bottom w:val="none" w:sz="0" w:space="0" w:color="auto"/>
                                <w:right w:val="none" w:sz="0" w:space="0" w:color="auto"/>
                              </w:divBdr>
                              <w:divsChild>
                                <w:div w:id="211381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1197172">
      <w:bodyDiv w:val="1"/>
      <w:marLeft w:val="0"/>
      <w:marRight w:val="0"/>
      <w:marTop w:val="0"/>
      <w:marBottom w:val="0"/>
      <w:divBdr>
        <w:top w:val="none" w:sz="0" w:space="0" w:color="auto"/>
        <w:left w:val="none" w:sz="0" w:space="0" w:color="auto"/>
        <w:bottom w:val="none" w:sz="0" w:space="0" w:color="auto"/>
        <w:right w:val="none" w:sz="0" w:space="0" w:color="auto"/>
      </w:divBdr>
    </w:div>
    <w:div w:id="2118402495">
      <w:bodyDiv w:val="1"/>
      <w:marLeft w:val="0"/>
      <w:marRight w:val="0"/>
      <w:marTop w:val="0"/>
      <w:marBottom w:val="0"/>
      <w:divBdr>
        <w:top w:val="none" w:sz="0" w:space="0" w:color="auto"/>
        <w:left w:val="none" w:sz="0" w:space="0" w:color="auto"/>
        <w:bottom w:val="none" w:sz="0" w:space="0" w:color="auto"/>
        <w:right w:val="none" w:sz="0" w:space="0" w:color="auto"/>
      </w:divBdr>
    </w:div>
    <w:div w:id="2128696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2tic4wvo1iusb.cloudfront.net/production/documents/news/Diagnostic_Assessment_Tool.pdf?v=169761997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ndowmentfoundation.org.uk/education-evidence/teaching-learning-toolkit/oral-language-interventio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ducationendowmentfoundation.org.uk/education-evidence/guidance-reports/primary-sel" TargetMode="External"/><Relationship Id="rId4" Type="http://schemas.openxmlformats.org/officeDocument/2006/relationships/settings" Target="settings.xml"/><Relationship Id="rId9" Type="http://schemas.openxmlformats.org/officeDocument/2006/relationships/hyperlink" Target="https://educationendowmentfoundation.org.uk/evidence-summaries/teaching-learning-toolkit/oral-language-interventi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7F738-4641-48A8-80AE-371464712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4536</Words>
  <Characters>25858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30334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Joanne Rodgers</cp:lastModifiedBy>
  <cp:revision>2</cp:revision>
  <cp:lastPrinted>2025-12-17T15:37:00Z</cp:lastPrinted>
  <dcterms:created xsi:type="dcterms:W3CDTF">2025-12-19T15:27:00Z</dcterms:created>
  <dcterms:modified xsi:type="dcterms:W3CDTF">2025-12-19T15:27:00Z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